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200"/>
      </w:pPr>
      <w:r>
        <w:rPr>
          <w:rFonts w:ascii="Calibri Light" w:cs="Calibri Light" w:eastAsia="Calibri Light" w:hAnsi="Calibri Light"/>
          <w:b/>
          <w:bCs/>
          <w:color w:val="1a1a2e"/>
          <w:sz w:val="56"/>
          <w:szCs w:val="56"/>
        </w:rPr>
        <w:t xml:space="preserve">IONITY GLOBAL</w:t>
      </w:r>
    </w:p>
    <w:p>
      <w:pPr>
        <w:spacing w:after="40"/>
      </w:pPr>
      <w:r>
        <w:rPr>
          <w:rFonts w:ascii="Calibri" w:cs="Calibri" w:eastAsia="Calibri" w:hAnsi="Calibri"/>
          <w:color w:val="5d6d7e"/>
          <w:sz w:val="20"/>
          <w:szCs w:val="20"/>
        </w:rPr>
        <w:t xml:space="preserve">(Pty) Ltd  ·  AEDI  ·  Building Tomorrow, Today</w:t>
      </w:r>
    </w:p>
    <w:p>
      <w:pPr>
        <w:pBdr>
          <w:bottom w:val="single" w:color="00c6ff" w:sz="16" w:space="8"/>
        </w:pBdr>
        <w:spacing w:after="360"/>
      </w:pPr>
    </w:p>
    <w:p>
      <w:pPr>
        <w:spacing w:after="60"/>
      </w:pPr>
      <w:r>
        <w:rPr>
          <w:rFonts w:ascii="Calibri Light" w:cs="Calibri Light" w:eastAsia="Calibri Light" w:hAnsi="Calibri Light"/>
          <w:b/>
          <w:bCs/>
          <w:color w:val="0072ff"/>
          <w:sz w:val="64"/>
          <w:szCs w:val="64"/>
        </w:rPr>
        <w:t xml:space="preserve">IT SYSTEMS AUDIT</w:t>
      </w:r>
    </w:p>
    <w:p>
      <w:pPr>
        <w:spacing w:after="60"/>
      </w:pPr>
      <w:r>
        <w:rPr>
          <w:rFonts w:ascii="Calibri Light" w:cs="Calibri Light" w:eastAsia="Calibri Light" w:hAnsi="Calibri Light"/>
          <w:color w:val="16213e"/>
          <w:sz w:val="34"/>
          <w:szCs w:val="34"/>
        </w:rPr>
        <w:t xml:space="preserve">Final Report &amp; Recommendations</w:t>
      </w:r>
    </w:p>
    <w:p>
      <w:pPr>
        <w:spacing w:after="420"/>
      </w:pPr>
      <w:r>
        <w:rPr>
          <w:rFonts w:ascii="Calibri" w:cs="Calibri" w:eastAsia="Calibri" w:hAnsi="Calibri"/>
          <w:i/>
          <w:iCs/>
          <w:color w:val="5d6d7e"/>
          <w:sz w:val="24"/>
          <w:szCs w:val="24"/>
        </w:rPr>
        <w:t xml:space="preserve">Phase 1 — Assessment &amp; Advisory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d6d7e"/>
          <w:sz w:val="18"/>
          <w:szCs w:val="18"/>
        </w:rPr>
        <w:t xml:space="preserve">PREPARED FOR</w:t>
      </w:r>
      <w:r>
        <w:rPr>
          <w:rFonts w:ascii="Calibri" w:cs="Calibri" w:eastAsia="Calibri" w:hAnsi="Calibri"/>
          <w:b/>
          <w:bCs/>
          <w:color w:val="16213e"/>
          <w:sz w:val="24"/>
          <w:szCs w:val="24"/>
        </w:rPr>
        <w:t xml:space="preserve">   Shout-It-Now NPC</w:t>
      </w:r>
    </w:p>
    <w:p>
      <w:pPr>
        <w:spacing w:after="400"/>
      </w:pPr>
      <w:r>
        <w:rPr>
          <w:rFonts w:ascii="Calibri" w:cs="Calibri" w:eastAsia="Calibri" w:hAnsi="Calibri"/>
          <w:b/>
          <w:bCs/>
          <w:color w:val="5d6d7e"/>
          <w:sz w:val="18"/>
          <w:szCs w:val="18"/>
        </w:rPr>
        <w:t xml:space="preserve">PREPARED BY</w:t>
      </w:r>
      <w:r>
        <w:rPr>
          <w:rFonts w:ascii="Calibri" w:cs="Calibri" w:eastAsia="Calibri" w:hAnsi="Calibri"/>
          <w:b/>
          <w:bCs/>
          <w:color w:val="16213e"/>
          <w:sz w:val="24"/>
          <w:szCs w:val="24"/>
        </w:rPr>
        <w:t xml:space="preserve">   Ionity Global (Pty) Ltd</w:t>
      </w:r>
    </w:p>
    <w:p>
      <w:pPr>
        <w:shd w:fill="f4f8fb" w:val="clear"/>
        <w:spacing w:after="60" w:before="160" w:line="300"/>
        <w:ind w:left="120"/>
      </w:pPr>
      <w:r>
        <w:rPr>
          <w:b/>
          <w:bCs/>
          <w:color w:val="1a1a2e"/>
          <w:sz w:val="19"/>
          <w:szCs w:val="19"/>
        </w:rPr>
        <w:t xml:space="preserve">Engagement:  </w:t>
      </w:r>
      <w:r>
        <w:rPr>
          <w:color w:val="16213e"/>
          <w:sz w:val="19"/>
          <w:szCs w:val="19"/>
        </w:rPr>
        <w:t xml:space="preserve">Q021-SN01-AD1-26D  ·  QTE-2026-002</w:t>
      </w:r>
      <w:r>
        <w:rPr>
          <w:b/>
          <w:bCs/>
          <w:color w:val="1a1a2e"/>
          <w:sz w:val="19"/>
          <w:szCs w:val="19"/>
        </w:rPr>
        <w:br/>
        <w:t xml:space="preserve">          Document:  </w:t>
      </w:r>
      <w:r>
        <w:rPr>
          <w:color w:val="16213e"/>
          <w:sz w:val="19"/>
          <w:szCs w:val="19"/>
        </w:rPr>
        <w:t xml:space="preserve">DOC-2026-07-021  ·  Version 1.0 FINAL</w:t>
      </w:r>
      <w:r>
        <w:rPr>
          <w:b/>
          <w:bCs/>
          <w:color w:val="1a1a2e"/>
          <w:sz w:val="19"/>
          <w:szCs w:val="19"/>
        </w:rPr>
        <w:br/>
        <w:t xml:space="preserve">          Date:  </w:t>
      </w:r>
      <w:r>
        <w:rPr>
          <w:color w:val="16213e"/>
          <w:sz w:val="19"/>
          <w:szCs w:val="19"/>
        </w:rPr>
        <w:t xml:space="preserve">20 July 2026 (SAST)</w:t>
      </w:r>
      <w:r>
        <w:rPr>
          <w:b/>
          <w:bCs/>
          <w:color w:val="1a1a2e"/>
          <w:sz w:val="19"/>
          <w:szCs w:val="19"/>
        </w:rPr>
        <w:br/>
        <w:t xml:space="preserve">          Classification:  </w:t>
      </w:r>
      <w:r>
        <w:rPr>
          <w:b/>
          <w:bCs/>
          <w:color w:val="c0392b"/>
          <w:sz w:val="19"/>
          <w:szCs w:val="19"/>
        </w:rPr>
        <w:t xml:space="preserve">CONFIDENTIAL — CLIENT</w:t>
      </w:r>
      <w:r>
        <w:rPr>
          <w:b/>
          <w:bCs/>
          <w:color w:val="1a1a2e"/>
          <w:sz w:val="19"/>
          <w:szCs w:val="19"/>
        </w:rPr>
        <w:br/>
        <w:t xml:space="preserve">          Governance:  </w:t>
      </w:r>
      <w:r>
        <w:rPr>
          <w:color w:val="16213e"/>
          <w:sz w:val="19"/>
          <w:szCs w:val="19"/>
        </w:rPr>
        <w:t xml:space="preserve">Policy 986 AED · AED 900 · TM²</w:t>
      </w:r>
    </w:p>
    <w:p>
      <w:pPr>
        <w:spacing w:before="300"/>
      </w:pPr>
      <w:r>
        <w:rPr>
          <w:rFonts w:ascii="Calibri" w:cs="Calibri" w:eastAsia="Calibri" w:hAnsi="Calibri"/>
          <w:color w:val="0072ff"/>
          <w:sz w:val="19"/>
          <w:szCs w:val="19"/>
        </w:rPr>
        <w:t xml:space="preserve">www.ionity.today   |   ai@ionity.today   |   +27 646 999 877</w:t>
      </w:r>
    </w:p>
    <w:p>
      <w:pPr>
        <w:spacing w:before="40"/>
      </w:pPr>
      <w:r>
        <w:rPr>
          <w:rFonts w:ascii="Calibri" w:cs="Calibri" w:eastAsia="Calibri" w:hAnsi="Calibri"/>
          <w:i/>
          <w:iCs/>
          <w:color w:val="5d6d7e"/>
          <w:sz w:val="18"/>
          <w:szCs w:val="18"/>
        </w:rPr>
        <w:t xml:space="preserve">“Anything is Possible with God.”</w:t>
      </w:r>
    </w:p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Contents</w:t>
      </w:r>
    </w:p>
    <w:sdt>
      <w:sdtPr>
        <w:alias w:val="Contents"/>
      </w:sdtPr>
      <w:sdtContent>
        <w:p>
          <w:r>
            <w:fldChar w:fldCharType="begin" w:dirty="true"/>
            <w:instrText xml:space="preserve">TOC \h \o "1-3"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1.  Executive Summary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Shout-It-Now NPC delivers front-line HIV, TB, STI, PrEP and gender-based-violence (GBV) services to South African youth — more than </w:t>
      </w: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1.2 million people have learned their HIV status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through its programmes. Its technology estate has grown organically around the </w:t>
      </w: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SMART 2.0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clinical hub across 21 systems and two clouds. Ionity Global was engaged to perform an independent Phase 1 IT Systems Audit, Assessment &amp; Advisory: baseline the estate, risk-rank the findings against POPIA and ISO/IEC 27001, and set a costed remediation path.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1.1  Overall posture verdict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Mission-critical delivery works — mobile clinics run on SMART 2.0 daily. But the estate’s security and governance maturity is </w:t>
      </w:r>
      <w:r>
        <w:rPr>
          <w:rFonts w:ascii="Calibri" w:cs="Calibri" w:eastAsia="Calibri" w:hAnsi="Calibri"/>
          <w:b/>
          <w:bCs/>
          <w:i w:val="false"/>
          <w:iCs w:val="false"/>
          <w:color w:val="b9770e"/>
          <w:sz w:val="21"/>
          <w:szCs w:val="21"/>
        </w:rPr>
        <w:t xml:space="preserve">“Initial”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: the forensic scan returned a posture score of </w:t>
      </w:r>
      <w:r>
        <w:rPr>
          <w:rFonts w:ascii="Calibri" w:cs="Calibri" w:eastAsia="Calibri" w:hAnsi="Calibri"/>
          <w:b/>
          <w:bCs/>
          <w:i w:val="false"/>
          <w:iCs w:val="false"/>
          <w:color w:val="c0392b"/>
          <w:sz w:val="21"/>
          <w:szCs w:val="21"/>
        </w:rPr>
        <w:t xml:space="preserve">33.7/100 (Grade F)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. The estate is capable but is paying for its past — fragmented finance, dormant paid-for tools, an 18-month maintenance gap on the clinical core, an unguarded cloud perimeter, and identity sprawl. Encouragingly, the workloads are basic and scattered, which makes the recommended consolidation low-complexity.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1.2  Critical findings at a glance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The following RED items require action this quarter: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F-24 · No MFA on AWS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root account key has no MFA and all 6 IAM users are unprotected (0/6); four accounts are dormant yet enabled, including an external vendor idle 1,012 days.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F-23 · No logging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CloudTrail is disabled across all 18 regions; no Config, no GuardDuty. A breach would go unseen and POPIA §22 notification could not be met.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F-06 · Unmaintained clinical core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SMART 2.0 has had no patch cadence for ~18 months on a runtime reported end-of-life.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F-04 · Email-security gap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email protection covers ~40 of ~200 mailboxes; live phishing exposure observed.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F-28 · Azure Entra sprawl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1,000+ directory identities against ~200 mailboxes — a 5:1 ratio, unMFA’d, licence- and POPIA-exposed.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F-29 · CHOMI on Botpress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GBV survivor conversations (special personal information) cross the border twice — to Botpress cloud and to an offshore LLM — with no operator agreements.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F-07 · AWS cost cliff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commitment expires September 2026; the ~R9k/month rate can rise to R60–70k/month if it lapses.</w:t>
      </w:r>
    </w:p>
    <w:p>
      <w:pPr>
        <w:pBdr>
          <w:left w:val="single" w:color="1e8449" w:sz="24" w:space="10"/>
        </w:pBdr>
        <w:shd w:fill="eef6fb" w:val="clear"/>
        <w:spacing w:after="140" w:before="120" w:line="276"/>
        <w:ind w:left="180" w:right="120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Data residency (F-17) was CONFIRMED RESOLVED.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configuration scan (30 Jun 2026) verified the SMART 2.0 clinical database is hosted in-country (af-south-1) — the previously drafted cross-border concern is closed GREEN. Residual checks: the SNowI 2 data store and an eLearning test instance in eu-west-1.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1.3  Headline recommendations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Exit AWS entirely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and re-home the clinical workloads onto Ionity Private Intranet hosting — sovereign micro-computing nodes on SA soil (addresses F-06, F-07, F-23–F-27).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Retain and right-size Azure / Microsoft 365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as the identity and productivity backbone; reconcile the Entra directory (F-28); Ionity absorbs Azure-bound migration cost up to R25,000.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Consolidate the finance stack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evaluate Dynamics 365 (NGO ~60% discount) against a Sage upgrade; retain S-Cube; 3/6/9-month staged hand-over (F-05, F-09, F-10).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Harden identity now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enforce MFA, disable dormant/vendor accounts, rotate stale keys, wire HR→Entra joiner/mover/leaver (F-24, F-03).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Rebuild CHOMI as a local AI + RAG bot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on the Ionity edge, so survivor data never leaves the country (F-16, F-29).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1.4  Financial summary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total annual IT run-rate is approximately </w:t>
      </w: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R1.2 million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(summed system costs, finance view). Of this, roughly </w:t>
      </w:r>
      <w:r>
        <w:rPr>
          <w:rFonts w:ascii="Calibri" w:cs="Calibri" w:eastAsia="Calibri" w:hAnsi="Calibri"/>
          <w:b/>
          <w:bCs/>
          <w:i w:val="false"/>
          <w:iCs w:val="false"/>
          <w:color w:val="b9770e"/>
          <w:sz w:val="21"/>
          <w:szCs w:val="21"/>
        </w:rPr>
        <w:t xml:space="preserve">R620,000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was flagged as poor value — fragmented, duplicated and dormant spend. The audit isolates </w:t>
      </w: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≈ R335,000 per year of recurring gains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, lands the estate near a </w:t>
      </w: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R865,000 run-rate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, and removes an AWS renewal cliff worth up to R630,000/year in exposure. The Ionity Private Intranet cluster costs R118,500 once-off plus R7,950/month, with payback of approximately </w:t>
      </w: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12 months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against today’s AWS run-rate. The cost model is now console-verified: the SMART 2.0 AWS account bills US$529.38/month on average (US$3,176.26 over Jan–Jun 2026).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2.  Engagement Background &amp; Scope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2.1  Client context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Shout-It-Now is a South African Non-Profit Company (NPC). SMART 2.0 is its custom electronic clinical management hub, running a POPIA-relevant central database for HIV/TB/STI/PrEP workflows, dispensing and social-work case management. Every mobile clinic depends on it.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2.2  Objectives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By the end of the engagement the client has: a documented baseline of the IT estate expressed as a maturity score; a risk-ranked findings register (5×5 likelihood × severity, RYG-rated); a gap analysis against POPIA and ISO/IEC 27001; quick-win actions inside 30 days; and a prioritised, costed remediation roadmap with software recommendations.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2.3  Scope — 21 systems across two tracks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Internal operational: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Sage Evolution · Fusion (Neurasoft) · CaseWare · S-Cube / BioSyn · SSRS · Salesforce · Consumate · ASQ / Eduvoss / Baseline.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External / client-facing: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SMART 2.0 · SNowI 2 · CHOMI / AIMEE · iShout / ShoutLink · MojaMind · eLearning · Microsoft 365 · Azure · AWS · Snipe-IT · WhatsApp · FreshService · Fetch / Self Cav.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2.4  Out of scope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Implementation of the recommendations. Phase 1 identifies possibilities and options; where several options exist, all are listed and the client decides the direction. Implementation and support fall to a subsequent phase.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2.5  Phase model</w:t>
      </w:r>
    </w:p>
    <w:tbl>
      <w:tblPr>
        <w:tblW w:type="dxa" w:w="93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1200"/>
        <w:gridCol w:w="6100"/>
        <w:gridCol w:w="2000"/>
      </w:tblGrid>
      <w:tr>
        <w:trPr>
          <w:tblHeader/>
        </w:trPr>
        <w:tc>
          <w:tcPr>
            <w:tcW w:type="dxa" w:w="12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Phase</w:t>
            </w:r>
          </w:p>
        </w:tc>
        <w:tc>
          <w:tcPr>
            <w:tcW w:type="dxa" w:w="61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Focus</w:t>
            </w:r>
          </w:p>
        </w:tc>
        <w:tc>
          <w:tcPr>
            <w:tcW w:type="dxa" w:w="20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12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1</w:t>
            </w:r>
          </w:p>
        </w:tc>
        <w:tc>
          <w:tcPr>
            <w:tcW w:type="dxa" w:w="61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Discovery, assessment &amp; advisory (this report)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e8449"/>
                <w:sz w:val="17"/>
                <w:szCs w:val="17"/>
              </w:rPr>
              <w:t xml:space="preserve">Complete</w:t>
            </w:r>
          </w:p>
        </w:tc>
      </w:tr>
      <w:tr>
        <w:tc>
          <w:tcPr>
            <w:tcW w:type="dxa" w:w="12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2</w:t>
            </w:r>
          </w:p>
        </w:tc>
        <w:tc>
          <w:tcPr>
            <w:tcW w:type="dxa" w:w="61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DOME consolidation, migration, QMS &amp; Chomi v2</w:t>
            </w:r>
          </w:p>
        </w:tc>
        <w:tc>
          <w:tcPr>
            <w:tcW w:type="dxa" w:w="2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b9770e"/>
                <w:sz w:val="17"/>
                <w:szCs w:val="17"/>
              </w:rPr>
              <w:t xml:space="preserve">Next</w:t>
            </w:r>
          </w:p>
        </w:tc>
      </w:tr>
      <w:tr>
        <w:tc>
          <w:tcPr>
            <w:tcW w:type="dxa" w:w="12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3</w:t>
            </w:r>
          </w:p>
        </w:tc>
        <w:tc>
          <w:tcPr>
            <w:tcW w:type="dxa" w:w="61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Rationalise, decommission &amp; finance cut-over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5d6d7e"/>
                <w:sz w:val="17"/>
                <w:szCs w:val="17"/>
              </w:rPr>
              <w:t xml:space="preserve">Then</w:t>
            </w:r>
          </w:p>
        </w:tc>
      </w:tr>
    </w:tbl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2.6  Stakeholders &amp; interviews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Lilian Monji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Corporate Services / Commercial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Neetin Daya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IT Operations (client single point of contact)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Pierre van Papendorp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Finance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Ionity delivery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— Johan van Antwerp (Managing Director), Ian Raven (assessment &amp; integration)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3.  Methodology &amp; Assessment Framework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audit followed an optimise-and-consolidate-before-replace principle: assess the estate against a consistent framework, secure continuity and compliance evidence first, then sequence rationalisation. Findings are stated as “we observed…”, or “requires confirmation” where evidence was incomplete.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3.1  Five General Foundations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Baseline domains assessed for every system: (1) asset inventory; (2) security &amp; access controls; (3) backup &amp; disaster recovery; (4) network performance &amp; capacity; (5) compliance &amp; policy enforcement.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3.2  Ten Specific Pillars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Depth coverage for custom-build, multi-cloud, AI and sensitive-data environments: integrations &amp; data flows; vendor &amp; source-code custody; cloud configuration posture; logging, monitoring &amp; IR readiness; identity lifecycle; patch &amp; change management; data classification, retention &amp; destruction; AI &amp; model governance; architectural single points of failure; and cost &amp; licence rationalisation.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3.3  Rating scheme &amp; risk matrix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RYG: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RED = material risk / non-compliance, act now; AMBER = weakness to remediate on a timeline; GREEN = adequate. Risk score = Likelihood × Severity on a 5×5 matrix (RED ≥ 15, AMBER 8–14, GREEN ≤ 7).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3.4  Evidence base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Stakeholder interviews; the April-2026 system assessment workbook; AWS, Azure and Microsoft 365 configuration scans; the IA·MCP forensic audit engine (20 tools, 100 controls, frameworks CIS v8 / ISO 27001 / SOC 2 / NIST 800-53 / POPIA); and live console captures on 20 July 2026 (AWS Cost Explorer, IAM, EC2 regions, and the CHOMI Botpress analytics). Evidence index in Appendix C.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4.  System Landscape &amp; Data Flows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4.1  SMART 2.0 as the central hub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SMART 2.0 is the anchor system. SNowI 2, ShoutLink, iShout, eLearning and a MojaMind data share all reference its AWS environment. Its supplier concentration and hosting drive several of the highest-priority findings — and mean one coordinated migration moves five systems at once.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4.2  Dual-cloud posture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estate is split: clinical workloads on AWS (af-south-1, confirmed in-country), operational/identity on Azure and Microsoft 365. The split leaves identity in Azure, clinical data in AWS, and monitoring in neither — a harmonisation and visibility gap the plan closes.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4.3  Criticality summary</w:t>
      </w:r>
    </w:p>
    <w:tbl>
      <w:tblPr>
        <w:tblW w:type="dxa" w:w="93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3400"/>
        <w:gridCol w:w="3900"/>
        <w:gridCol w:w="2000"/>
      </w:tblGrid>
      <w:tr>
        <w:trPr>
          <w:tblHeader/>
        </w:trPr>
        <w:tc>
          <w:tcPr>
            <w:tcW w:type="dxa" w:w="34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System</w:t>
            </w:r>
          </w:p>
        </w:tc>
        <w:tc>
          <w:tcPr>
            <w:tcW w:type="dxa" w:w="39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Function</w:t>
            </w:r>
          </w:p>
        </w:tc>
        <w:tc>
          <w:tcPr>
            <w:tcW w:type="dxa" w:w="20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Criticality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SMART 2.0</w:t>
            </w:r>
          </w:p>
        </w:tc>
        <w:tc>
          <w:tcPr>
            <w:tcW w:type="dxa" w:w="3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Clinical hub — HIV/TB/STI/PrEP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Critical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SNowI 2</w:t>
            </w:r>
          </w:p>
        </w:tc>
        <w:tc>
          <w:tcPr>
            <w:tcW w:type="dxa" w:w="3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Follow-up case-management CRM</w:t>
            </w:r>
          </w:p>
        </w:tc>
        <w:tc>
          <w:tcPr>
            <w:tcW w:type="dxa" w:w="2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Critical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CHOMI / AIMEE</w:t>
            </w:r>
          </w:p>
        </w:tc>
        <w:tc>
          <w:tcPr>
            <w:tcW w:type="dxa" w:w="3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WhatsApp GBV chatbot (Botpress)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Critical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S-Cube / BioSyn</w:t>
            </w:r>
          </w:p>
        </w:tc>
        <w:tc>
          <w:tcPr>
            <w:tcW w:type="dxa" w:w="3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Payroll &amp; time-and-attendance</w:t>
            </w:r>
          </w:p>
        </w:tc>
        <w:tc>
          <w:tcPr>
            <w:tcW w:type="dxa" w:w="2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Critical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iShout · MojaMind · eLearning</w:t>
            </w:r>
          </w:p>
        </w:tc>
        <w:tc>
          <w:tcPr>
            <w:tcW w:type="dxa" w:w="3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AGYW app · e-art MH · courses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b9770e"/>
                <w:sz w:val="17"/>
                <w:szCs w:val="17"/>
              </w:rPr>
              <w:t xml:space="preserve">High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M365 · Azure · AWS</w:t>
            </w:r>
          </w:p>
        </w:tc>
        <w:tc>
          <w:tcPr>
            <w:tcW w:type="dxa" w:w="3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Productivity, identity &amp; cloud infra</w:t>
            </w:r>
          </w:p>
        </w:tc>
        <w:tc>
          <w:tcPr>
            <w:tcW w:type="dxa" w:w="2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b9770e"/>
                <w:sz w:val="17"/>
                <w:szCs w:val="17"/>
              </w:rPr>
              <w:t xml:space="preserve">High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Sage · Fusion · SSRS</w:t>
            </w:r>
          </w:p>
        </w:tc>
        <w:tc>
          <w:tcPr>
            <w:tcW w:type="dxa" w:w="3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Finance &amp; reporting</w:t>
            </w:r>
          </w:p>
        </w:tc>
        <w:tc>
          <w:tcPr>
            <w:tcW w:type="dxa" w:w="2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b9770e"/>
                <w:sz w:val="17"/>
                <w:szCs w:val="17"/>
              </w:rPr>
              <w:t xml:space="preserve">High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Snipe-IT · Data Warehouse · Salesforce</w:t>
            </w:r>
          </w:p>
        </w:tc>
        <w:tc>
          <w:tcPr>
            <w:tcW w:type="dxa" w:w="3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Assets · integration · leads</w:t>
            </w:r>
          </w:p>
        </w:tc>
        <w:tc>
          <w:tcPr>
            <w:tcW w:type="dxa" w:w="2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5d6d7e"/>
                <w:sz w:val="17"/>
                <w:szCs w:val="17"/>
              </w:rPr>
              <w:t xml:space="preserve">Low–Med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5.  Findings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Each finding: context → observation → risk (RYG + score) → recommendation. Findings F-01 to F-27 follow the consolidated Phase 1 v3 register; F-28 and F-29 were added from the 20 July 2026 console review.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5.1  Cloud security &amp; identity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F-24  No MFA &amp; root-key exposure on AWS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c0392b"/>
          <w:sz w:val="18"/>
          <w:szCs w:val="18"/>
        </w:rPr>
        <w:t xml:space="preserve">RED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root account uses an access key with no MFA. All six IAM users are console-enabled with no MFA (0/6). Four are dormant yet still enabled — pierre.vanpapendorp (1,515 days), takudzwa.mabande (1,322 days), gareth.chandler@int32.co.za (external vendor, 1,012 days) and gino.janari (292 days). Active access keys are 1,374–1,633 days old; two have never been used. Console-confirmed 20 Jul 2026.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Enforce MFA on all users starting with the active admin; disable the four dormant accounts and the external-vendor account; delete the three unused/ancient keys; retire the root key; then wire HR→Entra joiner/mover/leaver so access cannot re-accumulate. Zero cost, one week.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F-23  No audit logging — CloudTrail disabled in all regions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c0392b"/>
          <w:sz w:val="18"/>
          <w:szCs w:val="18"/>
        </w:rPr>
        <w:t xml:space="preserve">RED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 · §22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CloudTrail management-event logging is disabled in all 18 enabled regions; AWS Config and GuardDuty are not enabled (Trusted Advisor, 30 Jun 2026). There is no record of API activity across the clinical estate — nobody would see a breach.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Enable a multi-region CloudTrail trail plus Config and GuardDuty as a quick win. Route logs to the monitoring node in the target architecture so POPIA §22 notification timelines can be met.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F-25  Internet-open security groups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c0392b"/>
          <w:sz w:val="18"/>
          <w:szCs w:val="18"/>
        </w:rPr>
        <w:t xml:space="preserve">RED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Security groups expose 0.0.0.0/0 on the sync and enrolment tiers of the clinical estate.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Close the groups to known sources; front all access with the WireGuard-only edge gateway in the target architecture.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F-26  Publicly accessible S3 bucket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S3 bucket “shoutitnow-hosted-content” is publicly accessible via bucket policy; a second bucket is not.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Restrict the bucket policy; audit contents for personal information; enable access logging.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F-27  Clinical database is Single-AZ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clinical RDS instance (sn-sql-db-01, af-south-1) is Single-AZ with no standby for automatic failover — and the estate has already taken two separate two-day outages.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Answer with the HA database pair (primary + hot standby, auto-failover) in the Ionity cluster; evidence restore drills monthly.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F-28  Azure Entra ID user sprawl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c0392b"/>
          <w:sz w:val="18"/>
          <w:szCs w:val="18"/>
        </w:rPr>
        <w:t xml:space="preserve">RED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 · C8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Azure Entra ID shows over 1,000 user objects against roughly 200 real mailboxes — a 5:1 ratio. Likely stale leavers, guests, duplicates, service and bulk-imported records. On an estate with no MFA and no logging, most are invisible. Exact count to confirm on export.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Export and classify every identity (active/leaver/guest/service/client-record); disable then delete the dead; reclaim licences; enforce MFA and Conditional Access; make Entra the clean identity spine.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F-17  POPIA cross-border transfer (§72) — RESOLVED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1e8449"/>
          <w:sz w:val="18"/>
          <w:szCs w:val="18"/>
        </w:rPr>
        <w:t xml:space="preserve">GREEN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—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§72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configuration scan confirmed the SMART 2.0 clinical database and primary compute are hosted in af-south-1 (Cape Town). Data residency for the primary clinical dataset is in-country; the previously drafted cross-border concern is closed.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Clear the residuals — verify the SNowI 2 data store and confirm no live personal information sits on the eLearning/Moodle test instance in eu-west-1; then terminate or re-home that instance.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5.2  Cost, commitment &amp; finance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F-07  AWS commitment expiring September 2026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commitment (type unconfirmed — Savings Plan / Reserved Instance / EDP) expires around September 2026. The committed rate of ~R9,000/month can rise to R60,000–70,000/month on-demand — a 7–8× step, billed in USD. Console-verified account spend averages US$529.38/month (US$3,176.26 Jan–Jun 2026), of which ~70% is overhead (support plan, load balancing, NAT, volumes, VAT) and CloudWatch is US$0.00.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Do not renew into another cycle. Exit AWS to the Ionity Private Intranet before the window closes, turning the September date into leverage rather than a deadline.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F-05 / F-09 / F-10  Fragmented finance stack &amp; Sage EOL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Finance runs across Sage Evolution V9, Fusion, CaseWare, S-Cube and a BioSyn build with manual hand-offs; each is a reconciliation point and audit/SARS/grant-reporting risk. Sage Evolution V9 is end-of-life.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Consolidate to one backbone: evaluate Dynamics 365 (NGO ~60% discount, ~R20k/yr for 4 users) against a Sage 300/Intacct upgrade; retain S-Cube for payroll &amp; T&amp;A; phase legacy out over 3/6/9 months with no interruption to payroll or funder reporting.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F-08  Azure billing anomaly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After a payment disruption and a Microsoft write-off, Azure invoices read zero — an unquantified liability and continuity risk on the platform being retained.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Regularise the true billing position with Microsoft before migrating anything into Azure; move the tenant onto a clean subscription.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F-11 / F-12  Dormant paid-for systems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Snipe-IT (Azure, R72,000/yr) is licensed but not used — no database access, register kept in a manual spreadsheet. The Data Warehouse (Azure, R60,000/yr) never reached production; supplier GCT is reported bankrupt.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Migrate the asset register into the finance system and decommission Snipe-IT; retire the Data Warehouse and point Power BI directly at source databases (DOME inherits the role in Phase 2). ~R132,000/yr reclaimed.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5.3  Vendor custody, availability &amp; data quality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F-02  Supplier / developer concentration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clinical core depends on one external developer (Garrett) at ~R350,000/yr all-in with no completed handover; SNowI’s builder has left; iShout’s handover is incomplete; the Data Warehouse supplier collapsed. Active knowledge loss is underway.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Progress code review → source escrow → clean handover; treat dependency reduction as a formal work-stream with maintenance under a contracted cadence.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F-01 / F-13  System sprawl &amp; retirement candidates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Weak integration across 21 systems; ShoutLink unused ~1 year; Salesforce used only for lead capture.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Fold ShoutLink functions into SMART 2.0 web; replace/replicate Salesforce internally; no net-new sprawl.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F-03  HR → IT identity lifecycle gap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No automated joiner/mover/leaver flow; orphaned accounts and delayed deprovisioning — evidenced directly by F-24 and F-28.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Automate lifecycle through Entra; recertify access quarterly.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F-15  iShout DataFree disabled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—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iShout’s zero-rated (“DataFree”) access is disabled, so AGYW users must fund their own data — undercutting reach and equity for the intended low-income audience.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Confirm the cause (cost/contract/technical) and restore DataFree in the action plan.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5.4  Sensitive data, AI &amp; compliance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F-29  CHOMI on Botpress — offshore special-PI processing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c0392b"/>
          <w:sz w:val="18"/>
          <w:szCs w:val="18"/>
        </w:rPr>
        <w:t xml:space="preserve">RED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P1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§72 · C7 · C8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CHOMI, the GBV support chatbot, runs on Botpress cloud (confirmed not Azure, not SA-hosted). Its analytics dashboard shows live LLM calls on real traffic — 191 users, 431 sessions, 2,988 bot and 1,334 user messages last month. Survivor conversations (special personal information) therefore leave the country twice: to Botpress and to an offshore LLM. The system snapshot labels CHOMI “anonymous / minimal PII”, yet the compliance questionnaire classes GBV data as special PI, and the FreshService handoff carries name, cell and location.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Put operator agreements (POPIA §20–21) in place with Botpress and the LLM provider; reconcile the classification to special PI; set retention/destruction on conversation logs; rotate the departed-developer credentials; then execute the recorded direction — rebuild CHOMI as a local AI + RAG bot on the Ionity edge (local LLM) so survivor data never leaves SA.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F-16  AI &amp; model governance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AI touchpoints (CHOMI, AIMEE, Self Cav, the planned reporting agent) need a consistent governance frame.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Apply one frame to every AI touchpoint: model provenance &amp; hosting jurisdiction; prompt-injection &amp; PII-leakage controls; human-in-the-loop escalation; conversation logging with retention.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F-14  MojaMind — most sensitive data &amp; migration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C7 · SU ethics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MojaMind (e-art mental health) combines HIV status, mental-health data and potential minors — the estate’s most sensitive profile; go-live slipped; a new supplier is needed post-launch.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Gate go-live on POPIA basis, ethics clearance and crisis-path readiness; land it in the retained Azure estate (within the R25,000 absorption barrier); delay contractor handover until the intervention completes.</w:t>
      </w:r>
    </w:p>
    <w:p>
      <w:pPr>
        <w:pStyle w:val="Heading3"/>
        <w:spacing w:after="80" w:before="180"/>
      </w:pPr>
      <w:r>
        <w:rPr>
          <w:rFonts w:ascii="Calibri" w:cs="Calibri" w:eastAsia="Calibri" w:hAnsi="Calibri"/>
          <w:b/>
          <w:bCs/>
          <w:color w:val="16213e"/>
          <w:sz w:val="22"/>
          <w:szCs w:val="22"/>
        </w:rPr>
        <w:t xml:space="preserve">F-18 – F-22  Data classification, minors, HPCSA, operators, funders</w:t>
      </w:r>
    </w:p>
    <w:p>
      <w:pPr>
        <w:spacing w:after="60"/>
      </w:pPr>
      <w:r>
        <w:rPr>
          <w:b/>
          <w:bCs/>
          <w:color w:val="1a1a2e"/>
          <w:sz w:val="18"/>
          <w:szCs w:val="18"/>
        </w:rPr>
        <w:t xml:space="preserve">Rating: </w:t>
      </w:r>
      <w:r>
        <w:rPr>
          <w:b/>
          <w:bCs/>
          <w:color w:val="b9770e"/>
          <w:sz w:val="18"/>
          <w:szCs w:val="18"/>
        </w:rPr>
        <w:t xml:space="preserve">AMBER  </w:t>
      </w:r>
      <w:r>
        <w:rPr>
          <w:b/>
          <w:bCs/>
          <w:color w:val="1a1a2e"/>
          <w:sz w:val="18"/>
          <w:szCs w:val="18"/>
        </w:rPr>
        <w:t xml:space="preserve">  Risk: </w:t>
      </w:r>
      <w:r>
        <w:rPr>
          <w:color w:val="16213e"/>
          <w:sz w:val="18"/>
          <w:szCs w:val="18"/>
        </w:rPr>
        <w:t xml:space="preserve">P2  </w:t>
      </w:r>
      <w:r>
        <w:rPr>
          <w:b/>
          <w:bCs/>
          <w:color w:val="1a1a2e"/>
          <w:sz w:val="18"/>
          <w:szCs w:val="18"/>
        </w:rPr>
        <w:t xml:space="preserve">  POPIA: </w:t>
      </w:r>
      <w:r>
        <w:rPr>
          <w:color w:val="16213e"/>
          <w:sz w:val="18"/>
          <w:szCs w:val="18"/>
        </w:rPr>
        <w:t xml:space="preserve">C3 · C7 · C8</w:t>
      </w:r>
    </w:p>
    <w:p>
      <w:pPr>
        <w:spacing w:after="6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Observation.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Cross-cutting: special-PI scope not fully classified; minors’ data engages the Children’s Act; HPCSA clinical-data obligations; operator/processor agreements incomplete; funder (PEPFAR / Global Fund) evidence mapping outstanding.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e8449"/>
          <w:sz w:val="21"/>
          <w:szCs w:val="21"/>
        </w:rPr>
        <w:t xml:space="preserve">Recommendation.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Run a compliance evidence sprint in Phase 2: classify special PI, set retention/destruction schedules, execute operator agreements, and assemble the funder evidence register.</w:t>
      </w:r>
    </w:p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6.  Consolidated Findings Register</w:t>
      </w:r>
    </w:p>
    <w:tbl>
      <w:tblPr>
        <w:tblW w:type="dxa" w:w="98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900"/>
        <w:gridCol w:w="1700"/>
        <w:gridCol w:w="5000"/>
        <w:gridCol w:w="1300"/>
        <w:gridCol w:w="900"/>
      </w:tblGrid>
      <w:tr>
        <w:trPr>
          <w:tblHeader/>
        </w:trPr>
        <w:tc>
          <w:tcPr>
            <w:tcW w:type="dxa" w:w="9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ID</w:t>
            </w:r>
          </w:p>
        </w:tc>
        <w:tc>
          <w:tcPr>
            <w:tcW w:type="dxa" w:w="17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Domain</w:t>
            </w:r>
          </w:p>
        </w:tc>
        <w:tc>
          <w:tcPr>
            <w:tcW w:type="dxa" w:w="50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Finding</w:t>
            </w:r>
          </w:p>
        </w:tc>
        <w:tc>
          <w:tcPr>
            <w:tcW w:type="dxa" w:w="13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RYG</w:t>
            </w:r>
          </w:p>
        </w:tc>
        <w:tc>
          <w:tcPr>
            <w:tcW w:type="dxa" w:w="9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Prio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F-01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Integration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System sprawl &amp; weak integration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F-02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Vendor custody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Supplier / developer concentration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F-03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Identity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HR→IT joiner/mover/leaver gap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F-04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Email security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~40 of ~200 mailboxes protected; phishing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F-05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Finance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Value-for-money of technology spend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F-06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Patch/change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Clinical core unmaintained ~18 months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F-07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Cost/licence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AWS commitment expiring Sep-2026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F-08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Cost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Azure billing anomaly (reads zero)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F-09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Finance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Finance systems not integrated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F-10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Fit-for-purpose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Sage Evolution V9 end-of-life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F-11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Cost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Snipe-IT dormant (R72k/yr)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F-12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Cost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Data Warehouse never implemented (R60k/yr)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F-13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Rationalise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ShoutLink under retirement review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d6d7e"/>
                <w:sz w:val="17"/>
                <w:szCs w:val="17"/>
              </w:rPr>
              <w:t xml:space="preserve">INFO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P3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F-14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Sensitive data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MojaMind sensitive domain &amp; migration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F-15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Access/reach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iShout DataFree disabled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F-16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AI governance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Model provenance / guardrails / logging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F-17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Cloud/POPIA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Residency CONFIRMED af-south-1 (§72 closed)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e8449"/>
                <w:sz w:val="17"/>
                <w:szCs w:val="17"/>
              </w:rPr>
              <w:t xml:space="preserve">GREEN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F-18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Data class.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Special-PI scope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F-19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Compliance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Minors &amp; the Children’s Act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F-20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Compliance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HPCSA clinical governance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F-21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Compliance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Operator / processor agreements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F-22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Funders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PEPFAR / Global Fund evidence mapping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F-23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Cloud logging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CloudTrail disabled 18/18 regions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F-24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IAM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Root key + 0/6 MFA; dormant/vendor accounts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F-25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Network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Internet-open security groups (0.0.0.0/0)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F-26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Data exposure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Public S3 bucket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F-27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Resilience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Clinical RDS Single-AZ; two 2-day outages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b9770e"/>
                <w:sz w:val="17"/>
                <w:szCs w:val="17"/>
              </w:rPr>
              <w:t xml:space="preserve">AMBER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P2</w:t>
            </w:r>
          </w:p>
        </w:tc>
      </w:tr>
      <w:tr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F-28</w:t>
            </w:r>
          </w:p>
        </w:tc>
        <w:tc>
          <w:tcPr>
            <w:tcW w:type="dxa" w:w="1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Identity/Azure</w:t>
            </w:r>
          </w:p>
        </w:tc>
        <w:tc>
          <w:tcPr>
            <w:tcW w:type="dxa" w:w="5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Entra 1,000+ users vs ~200 mailboxes</w:t>
            </w:r>
          </w:p>
        </w:tc>
        <w:tc>
          <w:tcPr>
            <w:tcW w:type="dxa" w:w="13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  <w:tr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F-29</w:t>
            </w:r>
          </w:p>
        </w:tc>
        <w:tc>
          <w:tcPr>
            <w:tcW w:type="dxa" w:w="1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AI/POPIA</w:t>
            </w:r>
          </w:p>
        </w:tc>
        <w:tc>
          <w:tcPr>
            <w:tcW w:type="dxa" w:w="5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CHOMI Botpress + offshore LLM — special PI</w:t>
            </w:r>
          </w:p>
        </w:tc>
        <w:tc>
          <w:tcPr>
            <w:tcW w:type="dxa" w:w="13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7"/>
                <w:szCs w:val="17"/>
              </w:rPr>
              <w:t xml:space="preserve">RED</w:t>
            </w:r>
          </w:p>
        </w:tc>
        <w:tc>
          <w:tcPr>
            <w:tcW w:type="dxa" w:w="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P1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7.  Recommendations &amp; Remediation Roadmap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7.1  Quick wins (0–30 days)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Enforce MFA on all AWS/Entra users; disable dormant and external-vendor accounts; rotate/delete stale access keys (F-24, F-03).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Enable multi-region CloudTrail + Config + GuardDuty; close 0.0.0.0/0 security groups; fix the public S3 bucket (F-23, F-25, F-26).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True-up email security to all ~200 mailboxes; enforce MFA on mail (F-04).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Decide the AWS exit before the September commitment window; regularise the Azure billing anomaly (F-07, F-08).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Decommission dormant Snipe-IT and retire the Data Warehouse — ~R132,000/yr reclaimed (F-11, F-12).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7.2  Short term (1–3 months)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Stand up the Ionity Private Intranet cluster and parallel-run migrate the AWS workloads with zero clinic downtime.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Confirm the finance consolidation path (Dynamics 365 vs Sage) after a fresh NPO demo; begin the 3/6/9-month hand-over.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Reconcile the Entra directory; make Entra the single identity spine (F-28).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7.3  Medium term (3–6 months)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Rebuild CHOMI as a local AI + RAG bot on the Ionity edge; execute operator agreements and retention schedules (F-16, F-29, F-21).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Run the compliance evidence sprint (POPIA Conditions, minors, HPCSA, funder mapping); begin the ISO/IEC 27001 readiness programme.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7.4  The AWS exit — Ionity Private Intranet hosting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This estate does not need a hyperscaler; it needs sovereignty, a patch cadence and a predictable rand-denominated bill. The recommendation is a cluster of micro-computing nodes installed on Shout-It-Now premises, owned by Shout-It-Now, operated under an Ionity managed-service cadence.</w:t>
      </w:r>
    </w:p>
    <w:tbl>
      <w:tblPr>
        <w:tblW w:type="dxa" w:w="93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CLINICAL tier — recommended</w:t>
            </w:r>
          </w:p>
        </w:tc>
        <w:tc>
          <w:tcPr>
            <w:tcW w:type="dxa" w:w="61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Detail</w:t>
            </w:r>
          </w:p>
        </w:tc>
      </w:tr>
      <w:tr>
        <w:tc>
          <w:tcPr>
            <w:tcW w:type="dxa" w:w="32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Topology</w:t>
            </w:r>
          </w:p>
        </w:tc>
        <w:tc>
          <w:tcPr>
            <w:tcW w:type="dxa" w:w="61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8 nodes: edge gateway · 2× app · HA database pair · sync · reporting · backup · monitoring</w:t>
            </w:r>
          </w:p>
        </w:tc>
      </w:tr>
      <w:tr>
        <w:tc>
          <w:tcPr>
            <w:tcW w:type="dxa" w:w="32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Once-off (CAPEX)</w:t>
            </w:r>
          </w:p>
        </w:tc>
        <w:tc>
          <w:tcPr>
            <w:tcW w:type="dxa" w:w="61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R118,500 — installed, hardened, handed over; hardware owned by the client</w:t>
            </w:r>
          </w:p>
        </w:tc>
      </w:tr>
      <w:tr>
        <w:tc>
          <w:tcPr>
            <w:tcW w:type="dxa" w:w="32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Managed hosting</w:t>
            </w:r>
          </w:p>
        </w:tc>
        <w:tc>
          <w:tcPr>
            <w:tcW w:type="dxa" w:w="61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R7,950 / month flat (R95,400/yr) — patching, 24/7 monitoring, backups, IR runbook, refresh reserve</w:t>
            </w:r>
          </w:p>
        </w:tc>
      </w:tr>
      <w:tr>
        <w:tc>
          <w:tcPr>
            <w:tcW w:type="dxa" w:w="32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vs AWS today</w:t>
            </w:r>
          </w:p>
        </w:tc>
        <w:tc>
          <w:tcPr>
            <w:tcW w:type="dxa" w:w="61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≈ R213,000/yr AWS-linked baseline → −55%; payback ≈ 12 months</w:t>
            </w:r>
          </w:p>
        </w:tc>
      </w:tr>
      <w:tr>
        <w:tc>
          <w:tcPr>
            <w:tcW w:type="dxa" w:w="32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Data residency</w:t>
            </w:r>
          </w:p>
        </w:tc>
        <w:tc>
          <w:tcPr>
            <w:tcW w:type="dxa" w:w="61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100% in-country by architecture; §22-ready logging; HA failover (answers F-27)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Azure and Microsoft 365 are retained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 as the identity and productivity backbone. What fits moves there — MojaMind (per its own plan), the asset register, M&amp;E datasets and the HR→Entra lifecycle — with Ionity absorbing migration cost up to R25,000. Alternatives were weighed: lift-into-Azure (viable, higher run-rate), stay-on-AWS-and-harden (renewal roulette continues), local VPS/colocation (recreates the ops gaps), and a SOVEREIGN dual-site hybrid (the Phase-2 end-state).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7.5  Cost-benefit &amp; savings realisation</w:t>
      </w:r>
    </w:p>
    <w:tbl>
      <w:tblPr>
        <w:tblW w:type="dxa" w:w="93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4700"/>
        <w:gridCol w:w="2800"/>
        <w:gridCol w:w="1800"/>
      </w:tblGrid>
      <w:tr>
        <w:trPr>
          <w:tblHeader/>
        </w:trPr>
        <w:tc>
          <w:tcPr>
            <w:tcW w:type="dxa" w:w="47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Gain</w:t>
            </w:r>
          </w:p>
        </w:tc>
        <w:tc>
          <w:tcPr>
            <w:tcW w:type="dxa" w:w="28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Source</w:t>
            </w:r>
          </w:p>
        </w:tc>
        <w:tc>
          <w:tcPr>
            <w:tcW w:type="dxa" w:w="18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Annual (ZAR)</w:t>
            </w:r>
          </w:p>
        </w:tc>
      </w:tr>
      <w:tr>
        <w:tc>
          <w:tcPr>
            <w:tcW w:type="dxa" w:w="4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Exit AWS → Ionity intranet (all AWS workloads)</w:t>
            </w:r>
          </w:p>
        </w:tc>
        <w:tc>
          <w:tcPr>
            <w:tcW w:type="dxa" w:w="2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F-06 · F-07 · F-23–F-27</w:t>
            </w:r>
          </w:p>
        </w:tc>
        <w:tc>
          <w:tcPr>
            <w:tcW w:type="dxa" w:w="1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+ R117,600</w:t>
            </w:r>
          </w:p>
        </w:tc>
      </w:tr>
      <w:tr>
        <w:tc>
          <w:tcPr>
            <w:tcW w:type="dxa" w:w="4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Decommission Snipe-IT; register into finance</w:t>
            </w:r>
          </w:p>
        </w:tc>
        <w:tc>
          <w:tcPr>
            <w:tcW w:type="dxa" w:w="2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F-11</w:t>
            </w:r>
          </w:p>
        </w:tc>
        <w:tc>
          <w:tcPr>
            <w:tcW w:type="dxa" w:w="1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+ R72,000</w:t>
            </w:r>
          </w:p>
        </w:tc>
      </w:tr>
      <w:tr>
        <w:tc>
          <w:tcPr>
            <w:tcW w:type="dxa" w:w="4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Retire Data Warehouse; direct Power BI links</w:t>
            </w:r>
          </w:p>
        </w:tc>
        <w:tc>
          <w:tcPr>
            <w:tcW w:type="dxa" w:w="2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F-12</w:t>
            </w:r>
          </w:p>
        </w:tc>
        <w:tc>
          <w:tcPr>
            <w:tcW w:type="dxa" w:w="1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+ R60,000</w:t>
            </w:r>
          </w:p>
        </w:tc>
      </w:tr>
      <w:tr>
        <w:tc>
          <w:tcPr>
            <w:tcW w:type="dxa" w:w="4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Finance consolidation (D365 vs Sage V9, net)</w:t>
            </w:r>
          </w:p>
        </w:tc>
        <w:tc>
          <w:tcPr>
            <w:tcW w:type="dxa" w:w="2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F-05 · F-09 · F-10</w:t>
            </w:r>
          </w:p>
        </w:tc>
        <w:tc>
          <w:tcPr>
            <w:tcW w:type="dxa" w:w="1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+ R50,000</w:t>
            </w:r>
          </w:p>
        </w:tc>
      </w:tr>
      <w:tr>
        <w:tc>
          <w:tcPr>
            <w:tcW w:type="dxa" w:w="47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SSRS folded into intranet reporting node</w:t>
            </w:r>
          </w:p>
        </w:tc>
        <w:tc>
          <w:tcPr>
            <w:tcW w:type="dxa" w:w="2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F-SSRS</w:t>
            </w:r>
          </w:p>
        </w:tc>
        <w:tc>
          <w:tcPr>
            <w:tcW w:type="dxa" w:w="18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+ R36,000</w:t>
            </w:r>
          </w:p>
        </w:tc>
      </w:tr>
      <w:tr>
        <w:tc>
          <w:tcPr>
            <w:tcW w:type="dxa" w:w="47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Identified recurring gains</w:t>
            </w:r>
          </w:p>
        </w:tc>
        <w:tc>
          <w:tcPr>
            <w:tcW w:type="dxa" w:w="2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before Phase-3 vendor savings</w:t>
            </w:r>
          </w:p>
        </w:tc>
        <w:tc>
          <w:tcPr>
            <w:tcW w:type="dxa" w:w="18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e8449"/>
                <w:sz w:val="17"/>
                <w:szCs w:val="17"/>
              </w:rPr>
              <w:t xml:space="preserve">≈ R335,600 / yr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Plus risk avoided: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the AWS cliff never fires — up to ≈ R630,000/yr of exposure removed. The estate run-rate trends from ≈ R1.2m to ≈ R865,000/yr, with the poor-value portion falling from R620,000 to ≈ R285,000.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8.  Compliance &amp; Standards Readiness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8.1  POPIA posture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Residency (§72) is now GREEN — confirmed in-country. The remaining exposure is Condition 7 (security safeguards): no MFA, no logging, open perimeter, and offshore GBV-data processing (F-23, F-24, F-25, F-29). Condition 3 (accuracy — duplicate client records) and Condition 8 (retention — no destruction schedules) require the evidence sprint. §22 breach-notification cannot currently be met without centralised logging — closed by the monitoring node.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8.2  ISO/IEC 27001 readiness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Sequenced against Annex A: asset inventory (fixed by the register), access control (identity lifecycle + individual logins), operations security (patch cadence), supplier relationships (custody &amp; escrow), and incident management (runbook + evidence). Phase-2 QMS documentation makes the readiness programme formal.</w:t>
      </w:r>
    </w:p>
    <w:p>
      <w:pPr>
        <w:pStyle w:val="Heading2"/>
        <w:spacing w:after="100" w:before="240"/>
      </w:pPr>
      <w:r>
        <w:rPr>
          <w:rFonts w:ascii="Calibri Light" w:cs="Calibri Light" w:eastAsia="Calibri Light" w:hAnsi="Calibri Light"/>
          <w:b/>
          <w:bCs/>
          <w:color w:val="0072ff"/>
          <w:sz w:val="26"/>
          <w:szCs w:val="26"/>
        </w:rPr>
        <w:t xml:space="preserve">8.3  Funder &amp; regulatory obligations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PEPFAR / Global Fund data-sovereignty and evidence requirements, and HPCSA clinical-data obligations, are answered by an evidence-first posture: restore drills, access logs, residency attestation and DR metrics become artefacts the client can hand over rather than claims it makes.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9.  Forward Look &amp; Conclusion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Phase 1 is complete. The estate is capable but under-governed, and paying for a fragmented past. The path forward is not “rip and replace” — it is exit the volatile, unguarded cloud; retain and harden what works; consolidate the sprawl; and re-home the most sensitive workloads onto sovereign, owned infrastructure. One architecture — the Ionity edge with local AI — answers both the clinical hub and the GBV chatbot.</w:t>
      </w:r>
    </w:p>
    <w:p>
      <w:pPr>
        <w:spacing w:after="120" w:before="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Decisions required from the client: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(D-1) approve the AWS exit before August 2026; (D-2) choose the finance backbone after the NPO demo; (D-3) mandate the quick-wins immediately; (D-4) sign off Phase-2 scope; (D-5) green-light the parallel FLOW and AI-reporting builds. The audit is self-funding — the fruit pays for the tree.</w:t>
      </w:r>
    </w:p>
    <w:p>
      <w:pPr>
        <w:pBdr>
          <w:left w:val="single" w:color="1e8449" w:sz="24" w:space="10"/>
        </w:pBdr>
        <w:shd w:fill="eef6fb" w:val="clear"/>
        <w:spacing w:after="140" w:before="120" w:line="276"/>
        <w:ind w:left="180" w:right="120"/>
      </w:pPr>
      <w:r>
        <w:rPr>
          <w:rFonts w:ascii="Calibri" w:cs="Calibri" w:eastAsia="Calibri" w:hAnsi="Calibri"/>
          <w:b/>
          <w:bCs/>
          <w:i w:val="false"/>
          <w:iCs w:val="false"/>
          <w:color w:val="16213e"/>
          <w:sz w:val="21"/>
          <w:szCs w:val="21"/>
        </w:rPr>
        <w:t xml:space="preserve">Bottom line.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≈ R335,000/yr of recurring gains identified, an ≈ R630,000/yr cliff avoided, data residency confirmed, and a costed, zero-downtime route to a lean, sovereign, funder-ready estate.</w:t>
      </w:r>
    </w:p>
    <w:p>
      <w:r>
        <w:br w:type="page"/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Appendix A — Recorded system costs</w:t>
      </w:r>
    </w:p>
    <w:tbl>
      <w:tblPr>
        <w:tblW w:type="dxa" w:w="9300"/>
        <w:tblBorders>
          <w:top w:val="single" w:color="c9d6e2" w:sz="2"/>
          <w:left w:val="none"/>
          <w:bottom w:val="single" w:color="c9d6e2" w:sz="2"/>
          <w:right w:val="none"/>
          <w:insideH w:val="single" w:color="c9d6e2" w:sz="2"/>
          <w:insideV w:val="none"/>
        </w:tblBorders>
      </w:tblPr>
      <w:tblGrid>
        <w:gridCol w:w="3400"/>
        <w:gridCol w:w="2900"/>
        <w:gridCol w:w="3000"/>
      </w:tblGrid>
      <w:tr>
        <w:trPr>
          <w:tblHeader/>
        </w:trPr>
        <w:tc>
          <w:tcPr>
            <w:tcW w:type="dxa" w:w="34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System</w:t>
            </w:r>
          </w:p>
        </w:tc>
        <w:tc>
          <w:tcPr>
            <w:tcW w:type="dxa" w:w="29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Recorded annual cost</w:t>
            </w:r>
          </w:p>
        </w:tc>
        <w:tc>
          <w:tcPr>
            <w:tcW w:type="dxa" w:w="3000"/>
            <w:shd w:fill="1a1a2e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Direction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SMART 2.0 (all-in incl. vendor)</w:t>
            </w:r>
          </w:p>
        </w:tc>
        <w:tc>
          <w:tcPr>
            <w:tcW w:type="dxa" w:w="2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~R350,000</w:t>
            </w:r>
          </w:p>
        </w:tc>
        <w:tc>
          <w:tcPr>
            <w:tcW w:type="dxa" w:w="3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Exit AWS → Ionity intranet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iShout</w:t>
            </w:r>
          </w:p>
        </w:tc>
        <w:tc>
          <w:tcPr>
            <w:tcW w:type="dxa" w:w="2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R96,000</w:t>
            </w:r>
          </w:p>
        </w:tc>
        <w:tc>
          <w:tcPr>
            <w:tcW w:type="dxa" w:w="3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Exit → intranet; restore DataFree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MojaMind</w:t>
            </w:r>
          </w:p>
        </w:tc>
        <w:tc>
          <w:tcPr>
            <w:tcW w:type="dxa" w:w="2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~R84,000</w:t>
            </w:r>
          </w:p>
        </w:tc>
        <w:tc>
          <w:tcPr>
            <w:tcW w:type="dxa" w:w="3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Retained Azure (per plan)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Snipe-IT</w:t>
            </w:r>
          </w:p>
        </w:tc>
        <w:tc>
          <w:tcPr>
            <w:tcW w:type="dxa" w:w="2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R72,000</w:t>
            </w:r>
          </w:p>
        </w:tc>
        <w:tc>
          <w:tcPr>
            <w:tcW w:type="dxa" w:w="3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Decommission → finance system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Sage Evolution V9</w:t>
            </w:r>
          </w:p>
        </w:tc>
        <w:tc>
          <w:tcPr>
            <w:tcW w:type="dxa" w:w="2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~R70,000</w:t>
            </w:r>
          </w:p>
        </w:tc>
        <w:tc>
          <w:tcPr>
            <w:tcW w:type="dxa" w:w="3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Consolidate (D365 vs Sage)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Data Warehouse</w:t>
            </w:r>
          </w:p>
        </w:tc>
        <w:tc>
          <w:tcPr>
            <w:tcW w:type="dxa" w:w="2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R60,000</w:t>
            </w:r>
          </w:p>
        </w:tc>
        <w:tc>
          <w:tcPr>
            <w:tcW w:type="dxa" w:w="3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Retire → DOME (Phase 2)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CHOMI</w:t>
            </w:r>
          </w:p>
        </w:tc>
        <w:tc>
          <w:tcPr>
            <w:tcW w:type="dxa" w:w="2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R54,000</w:t>
            </w:r>
          </w:p>
        </w:tc>
        <w:tc>
          <w:tcPr>
            <w:tcW w:type="dxa" w:w="3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Rebuild as local RAG on edge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SSRS</w:t>
            </w:r>
          </w:p>
        </w:tc>
        <w:tc>
          <w:tcPr>
            <w:tcW w:type="dxa" w:w="2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R36,000</w:t>
            </w:r>
          </w:p>
        </w:tc>
        <w:tc>
          <w:tcPr>
            <w:tcW w:type="dxa" w:w="3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Fold into intranet reporting</w:t>
            </w:r>
          </w:p>
        </w:tc>
      </w:tr>
      <w:tr>
        <w:tc>
          <w:tcPr>
            <w:tcW w:type="dxa" w:w="34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Fusion</w:t>
            </w:r>
          </w:p>
        </w:tc>
        <w:tc>
          <w:tcPr>
            <w:tcW w:type="dxa" w:w="29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R24,000</w:t>
            </w:r>
          </w:p>
        </w:tc>
        <w:tc>
          <w:tcPr>
            <w:tcW w:type="dxa" w:w="3000"/>
            <w:shd w:fill="ffffff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Decide with Sage (coupled)</w:t>
            </w:r>
          </w:p>
        </w:tc>
      </w:tr>
      <w:tr>
        <w:tc>
          <w:tcPr>
            <w:tcW w:type="dxa" w:w="34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FreshService</w:t>
            </w:r>
          </w:p>
        </w:tc>
        <w:tc>
          <w:tcPr>
            <w:tcW w:type="dxa" w:w="29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R10,000</w:t>
            </w:r>
          </w:p>
        </w:tc>
        <w:tc>
          <w:tcPr>
            <w:tcW w:type="dxa" w:w="3000"/>
            <w:shd w:fill="f4f8fb" w:val="clear"/>
            <w:tcMar>
              <w:top w:type="dxa" w:w="50"/>
              <w:left w:type="dxa" w:w="90"/>
              <w:bottom w:type="dxa" w:w="5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6213e"/>
                <w:sz w:val="17"/>
                <w:szCs w:val="17"/>
              </w:rPr>
              <w:t xml:space="preserve">Retain (low lock-in)</w:t>
            </w:r>
          </w:p>
        </w:tc>
      </w:tr>
    </w:tbl>
    <w:p>
      <w:pPr>
        <w:spacing w:after="120" w:before="0" w:line="276"/>
      </w:pPr>
      <w:r>
        <w:rPr>
          <w:rFonts w:ascii="Calibri" w:cs="Calibri" w:eastAsia="Calibri" w:hAnsi="Calibri"/>
          <w:b/>
          <w:bCs/>
          <w:i/>
          <w:iCs/>
          <w:color w:val="16213e"/>
          <w:sz w:val="21"/>
          <w:szCs w:val="21"/>
        </w:rPr>
        <w:t xml:space="preserve">Note. </w:t>
      </w:r>
      <w:r>
        <w:rPr>
          <w:rFonts w:ascii="Calibri" w:cs="Calibri" w:eastAsia="Calibri" w:hAnsi="Calibri"/>
          <w:b w:val="false"/>
          <w:bCs w:val="false"/>
          <w:i/>
          <w:iCs/>
          <w:color w:val="16213e"/>
          <w:sz w:val="21"/>
          <w:szCs w:val="21"/>
        </w:rPr>
        <w:t xml:space="preserve">Profiled systems total ≈ R856,000/yr; adding Microsoft 365 (~R132,000), payroll (S-Cube/BioSyn), Azure, Salesforce and connectivity brings the full IT run-rate to ≈ R1.2 million/yr. Figures are indicative, drawn from the system register (reviewed 27 Mar 2026) and console verification (20 Jul 2026); vendor confirmations at sign-off.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Appendix B — Evidence index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Cost Explorer, account 334982276367, Jan–Jun 2026 — US$3,176.26 total, US$529.38/mo avg (console 20 Jul 2026).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IAM users — 6 users, 0/6 MFA, 4 dormant incl. external vendor; keys 1,374–1,633 days (console 20 Jul 2026).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EC2 regions — af-south-1 + eu-west-1 active; us-east-1 empty (console 20 Jul 2026).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AWS Trusted Advisor — CloudTrail logging 18/18 regions RED (30 Jun 2026).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CHOMI Botpress analytics — 191 users, 431 sessions, 2,988 bot + 1,334 user messages; live LLM activity/cost panels (20 Jul 2026).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IA·MCP forensic engine — posture 33.7/100 Grade F; frameworks CIS/ISO 27001/SOC 2/NIST/POPIA.</w:t>
      </w:r>
    </w:p>
    <w:p>
      <w:pPr>
        <w:pStyle w:val="ListParagraph"/>
        <w:numPr>
          <w:ilvl w:val="0"/>
          <w:numId w:val="2"/>
        </w:numPr>
        <w:spacing w:after="70" w:line="264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14 system profiles; consolidated final report (Phase 1 v3); 158-document engagement repository.</w:t>
      </w:r>
    </w:p>
    <w:p>
      <w:pPr>
        <w:pStyle w:val="Heading1"/>
        <w:pBdr>
          <w:bottom w:val="single" w:color="00c6ff" w:sz="10" w:space="6"/>
        </w:pBdr>
        <w:spacing w:after="140" w:before="320"/>
      </w:pPr>
      <w:r>
        <w:rPr>
          <w:rFonts w:ascii="Calibri Light" w:cs="Calibri Light" w:eastAsia="Calibri Light" w:hAnsi="Calibri Light"/>
          <w:b/>
          <w:bCs/>
          <w:color w:val="1a1a2e"/>
          <w:sz w:val="32"/>
          <w:szCs w:val="32"/>
        </w:rPr>
        <w:t xml:space="preserve">Appendix C — Glossary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6213e"/>
          <w:sz w:val="21"/>
          <w:szCs w:val="21"/>
        </w:rPr>
        <w:t xml:space="preserve">AGYW — Adolescent Girls &amp; Young Women. CAPEX — capital expenditure. GBV — gender-based violence. HA — high availability. HPCSA — Health Professions Council of SA. IAM — identity &amp; access management. IR — incident response. LLM — large language model. MFA — multi-factor authentication. NPC — Non-Profit Company. POPIA — Protection of Personal Information Act. PITR — point-in-time recovery. RAG — retrieval-augmented generation. RDS — AWS Relational Database Service. RTO/RPO — recovery time / point objective. SPOF — single point of failure. §72 — POPIA cross-border transfer condition.</w:t>
      </w:r>
    </w:p>
    <w:p>
      <w:pPr>
        <w:pBdr>
          <w:bottom w:val="single" w:color="c9d6e2" w:sz="6" w:space="2"/>
        </w:pBdr>
        <w:spacing w:after="120"/>
      </w:pPr>
    </w:p>
    <w:p>
      <w:pPr>
        <w:spacing w:before="120"/>
      </w:pPr>
      <w:r>
        <w:rPr>
          <w:rFonts w:ascii="Calibri" w:cs="Calibri" w:eastAsia="Calibri" w:hAnsi="Calibri"/>
          <w:i/>
          <w:iCs/>
          <w:color w:val="5d6d7e"/>
          <w:sz w:val="16"/>
          <w:szCs w:val="16"/>
        </w:rPr>
        <w:t xml:space="preserve">© 2018–2026 Ionity Global (Pty) Ltd — All Rights Reserved — Policy 986 AED · AED 900 · TM².  Prepared for Shout-It-Now NPC. CONFIDENTIAL — CLIENT.  “Building Tomorrow, Today.”</w:t>
      </w:r>
    </w:p>
    <w:sectPr>
      <w:headerReference w:type="default" r:id="rId7"/>
      <w:footerReference w:type="default" r:id="rId8"/>
      <w:pgSz w:w="12240" w:h="15840" w:orient="portrait"/>
      <w:pgMar w:top="1180" w:right="1200" w:bottom="11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6e2" w:sz="4" w:space="4"/>
      </w:pBdr>
      <w:tabs>
        <w:tab w:val="center" w:pos="4920"/>
        <w:tab w:val="right" w:pos="9840"/>
      </w:tabs>
    </w:pPr>
    <w:r>
      <w:rPr>
        <w:rFonts w:ascii="Calibri" w:cs="Calibri" w:eastAsia="Calibri" w:hAnsi="Calibri"/>
        <w:color w:val="5d6d7e"/>
        <w:sz w:val="14"/>
        <w:szCs w:val="14"/>
      </w:rPr>
      <w:t xml:space="preserve">DOC-2026-07-021 · V1.0 FINAL</w:t>
    </w:r>
    <w:r>
      <w:rPr>
        <w:rFonts w:ascii="Calibri" w:cs="Calibri" w:eastAsia="Calibri" w:hAnsi="Calibri"/>
        <w:color w:val="5d6d7e"/>
        <w:sz w:val="14"/>
        <w:szCs w:val="14"/>
      </w:rPr>
      <w:t xml:space="preserve">	Page </w:t>
    </w:r>
    <w:r>
      <w:rPr>
        <w:rFonts w:ascii="Calibri" w:cs="Calibri" w:eastAsia="Calibri" w:hAnsi="Calibri"/>
        <w:color w:val="5d6d7e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d6d7e"/>
        <w:sz w:val="14"/>
        <w:szCs w:val="14"/>
      </w:rPr>
      <w:t xml:space="preserve"> of </w:t>
    </w:r>
    <w:r>
      <w:rPr>
        <w:rFonts w:ascii="Calibri" w:cs="Calibri" w:eastAsia="Calibri" w:hAnsi="Calibri"/>
        <w:color w:val="5d6d7e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color w:val="5d6d7e"/>
        <w:sz w:val="14"/>
        <w:szCs w:val="14"/>
      </w:rPr>
      <w:t xml:space="preserve">	© 2026 Ionity Global (Pty) Ltd · POL 986 AED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6e2" w:sz="4" w:space="4"/>
      </w:pBdr>
      <w:tabs>
        <w:tab w:val="right" w:pos="9840"/>
      </w:tabs>
    </w:pPr>
    <w:r>
      <w:rPr>
        <w:rFonts w:ascii="Calibri" w:cs="Calibri" w:eastAsia="Calibri" w:hAnsi="Calibri"/>
        <w:color w:val="5d6d7e"/>
        <w:sz w:val="15"/>
        <w:szCs w:val="15"/>
      </w:rPr>
      <w:t xml:space="preserve">Shout-It-Now × Ionity — Phase 1 IT Systems Audit</w:t>
    </w:r>
    <w:r>
      <w:rPr>
        <w:rFonts w:ascii="Calibri" w:cs="Calibri" w:eastAsia="Calibri" w:hAnsi="Calibri"/>
        <w:color w:val="c0392b"/>
        <w:sz w:val="15"/>
        <w:szCs w:val="15"/>
      </w:rPr>
      <w:t xml:space="preserve">	CONFIDENTIAL — CLIENT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0072ff"/>
      </w:rPr>
    </w:lvl>
    <w:lvl w:ilvl="1" w15:tentative="1">
      <w:start w:val="1"/>
      <w:numFmt w:val="bullet"/>
      <w:lvlText w:val="–"/>
      <w:lvlJc w:val="left"/>
      <w:pPr>
        <w:ind w:left="7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213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Shout-It-Now — Phase 1 IT Systems Audit — Final Report</dc:title>
  <dc:creator>Ionity Global (Pty) Ltd</dc:creator>
  <dc:description>DOC-2026-07-021 V1.0 FINAL</dc:description>
  <cp:lastModifiedBy>Un-named</cp:lastModifiedBy>
  <cp:revision>1</cp:revision>
  <dcterms:created xsi:type="dcterms:W3CDTF">2026-07-20T06:35:31.767Z</dcterms:created>
  <dcterms:modified xsi:type="dcterms:W3CDTF">2026-07-20T06:35:31.767Z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