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Default Extension="jpg" ContentType="image/jpeg"/>
  <Default Extension="jpeg" ContentType="image/jpeg"/>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pPr>
      <w:r w:rsidDel="00000000" w:rsidR="00000000" w:rsidRPr="00000000">
        <w:rPr>
          <w:rtl w:val="0"/>
        </w:rPr>
      </w:r>
    </w:p>
    <w:p w:rsidR="00000000" w:rsidDel="00000000" w:rsidP="00000000" w:rsidRDefault="00000000" w:rsidRPr="00000000" w14:paraId="00000002">
      <w:pPr>
        <w:spacing w:after="120" w:before="120" w:lineRule="auto"/>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drawing>
          <wp:inline distB="0" distT="0" distL="0" distR="0">
            <wp:extent cx="3048000" cy="2028825"/>
            <wp:effectExtent b="0" l="0" r="0" t="0"/>
            <wp:docPr descr="Ionity logo" id="2" name="image1.png"/>
            <a:graphic>
              <a:graphicData uri="http://schemas.openxmlformats.org/drawingml/2006/picture">
                <pic:pic>
                  <pic:nvPicPr>
                    <pic:cNvPr descr="Ionity logo" id="0" name="image1.png"/>
                    <pic:cNvPicPr preferRelativeResize="0"/>
                  </pic:nvPicPr>
                  <pic:blipFill>
                    <a:blip r:embed="rId6"/>
                    <a:srcRect b="0" l="0" r="0" t="0"/>
                    <a:stretch>
                      <a:fillRect/>
                    </a:stretch>
                  </pic:blipFill>
                  <pic:spPr>
                    <a:xfrm>
                      <a:off x="0" y="0"/>
                      <a:ext cx="3048000" cy="202882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120" w:before="120" w:lineRule="auto"/>
        <w:rPr/>
      </w:pPr>
      <w:r w:rsidDel="00000000" w:rsidR="00000000" w:rsidRPr="00000000">
        <w:rPr>
          <w:rtl w:val="0"/>
        </w:rPr>
      </w:r>
    </w:p>
    <w:p w:rsidR="00000000" w:rsidDel="00000000" w:rsidP="00000000" w:rsidRDefault="00000000" w:rsidRPr="00000000" w14:paraId="00000005">
      <w:pPr>
        <w:spacing w:after="0" w:lineRule="auto"/>
        <w:jc w:val="center"/>
        <w:rPr/>
      </w:pPr>
      <w:r w:rsidDel="00000000" w:rsidR="00000000" w:rsidRPr="00000000">
        <w:rPr>
          <w:rFonts w:ascii="Arial" w:cs="Arial" w:eastAsia="Arial" w:hAnsi="Arial"/>
          <w:b w:val="1"/>
          <w:bCs w:val="1"/>
          <w:color w:val="0d2137"/>
          <w:sz w:val="56"/>
          <w:szCs w:val="56"/>
          <w:rtl w:val="0"/>
        </w:rPr>
        <w:t xml:space="preserve">IONITY GLOBAL</w:t>
      </w:r>
      <w:r w:rsidDel="00000000" w:rsidR="00000000" w:rsidRPr="00000000">
        <w:rPr>
          <w:rtl w:val="0"/>
        </w:rPr>
      </w:r>
    </w:p>
    <w:p w:rsidR="00000000" w:rsidDel="00000000" w:rsidP="00000000" w:rsidRDefault="00000000" w:rsidRPr="00000000" w14:paraId="00000006">
      <w:pPr>
        <w:spacing w:after="200" w:before="0" w:lineRule="auto"/>
        <w:jc w:val="center"/>
        <w:rPr/>
      </w:pPr>
      <w:r w:rsidDel="00000000" w:rsidR="00000000" w:rsidRPr="00000000">
        <w:rPr>
          <w:rFonts w:ascii="Arial" w:cs="Arial" w:eastAsia="Arial" w:hAnsi="Arial"/>
          <w:color w:val="00b4d8"/>
          <w:sz w:val="32"/>
          <w:szCs w:val="32"/>
          <w:rtl w:val="0"/>
        </w:rPr>
        <w:t xml:space="preserve">(Pty) Ltd</w:t>
      </w:r>
      <w:r w:rsidDel="00000000" w:rsidR="00000000" w:rsidRPr="00000000">
        <w:rPr>
          <w:rtl w:val="0"/>
        </w:rPr>
      </w:r>
    </w:p>
    <w:p w:rsidR="00000000" w:rsidDel="00000000" w:rsidP="00000000" w:rsidRDefault="00000000" w:rsidRPr="00000000" w14:paraId="00000007">
      <w:pPr>
        <w:spacing w:after="120" w:before="120" w:lineRule="auto"/>
        <w:rPr/>
      </w:pPr>
      <w:r w:rsidDel="00000000" w:rsidR="00000000" w:rsidRPr="00000000">
        <w:rPr>
          <w:rtl w:val="0"/>
        </w:rPr>
      </w:r>
    </w:p>
    <w:p w:rsidR="00000000" w:rsidDel="00000000" w:rsidP="00000000" w:rsidRDefault="00000000" w:rsidRPr="00000000" w14:paraId="00000008">
      <w:pPr>
        <w:pBdr>
          <w:top w:color="00b4d8" w:space="8" w:sz="8" w:val="single"/>
          <w:bottom w:color="00b4d8" w:space="8" w:sz="8" w:val="single"/>
        </w:pBdr>
        <w:spacing w:after="200" w:before="200" w:lineRule="auto"/>
        <w:jc w:val="center"/>
        <w:rPr/>
      </w:pPr>
      <w:r w:rsidDel="00000000" w:rsidR="00000000" w:rsidRPr="00000000">
        <w:rPr>
          <w:rtl w:val="0"/>
        </w:rPr>
        <w:t xml:space="preserve">SHOUT-IT-NOW</w:t>
      </w:r>
      <w:r w:rsidDel="00000000" w:rsidR="00000000" w:rsidRPr="00000000">
        <w:rPr>
          <w:rtl w:val="0"/>
        </w:rPr>
      </w:r>
    </w:p>
    <w:p w:rsidR="00000000" w:rsidDel="00000000" w:rsidP="00000000" w:rsidRDefault="00000000" w:rsidRPr="00000000" w14:paraId="00000009">
      <w:pPr>
        <w:spacing w:after="80" w:before="200" w:lineRule="auto"/>
        <w:jc w:val="center"/>
        <w:rPr/>
      </w:pPr>
      <w:r w:rsidDel="00000000" w:rsidR="00000000" w:rsidRPr="00000000">
        <w:rPr>
          <w:rFonts w:ascii="Arial" w:cs="Arial" w:eastAsia="Arial" w:hAnsi="Arial"/>
          <w:color w:val="00b4d8"/>
          <w:sz w:val="36"/>
          <w:szCs w:val="36"/>
          <w:rtl w:val="0"/>
        </w:rPr>
        <w:t xml:space="preserve">Implementation Roadmap — IR </w:t>
      </w:r>
      <w:r w:rsidDel="00000000" w:rsidR="00000000" w:rsidRPr="00000000">
        <w:rPr>
          <w:rtl w:val="0"/>
        </w:rPr>
      </w:r>
    </w:p>
    <w:p w:rsidR="00000000" w:rsidDel="00000000" w:rsidP="00000000" w:rsidRDefault="00000000" w:rsidRPr="00000000" w14:paraId="0000000A">
      <w:pPr>
        <w:spacing w:after="40" w:lineRule="auto"/>
        <w:jc w:val="center"/>
        <w:rPr/>
      </w:pPr>
      <w:r w:rsidDel="00000000" w:rsidR="00000000" w:rsidRPr="00000000">
        <w:rPr>
          <w:i w:val="1"/>
          <w:iCs w:val="1"/>
          <w:color w:val="666666"/>
          <w:sz w:val="24"/>
          <w:szCs w:val="24"/>
          <w:rtl w:val="0"/>
        </w:rPr>
        <w:t xml:space="preserve">From Audit to Execution — Pathways, DOME Backbone &amp; SOP</w:t>
      </w:r>
      <w:r w:rsidDel="00000000" w:rsidR="00000000" w:rsidRPr="00000000">
        <w:rPr>
          <w:rtl w:val="0"/>
        </w:rPr>
      </w:r>
    </w:p>
    <w:p w:rsidR="00000000" w:rsidDel="00000000" w:rsidP="00000000" w:rsidRDefault="00000000" w:rsidRPr="00000000" w14:paraId="0000000B">
      <w:pPr>
        <w:spacing w:after="120" w:lineRule="auto"/>
        <w:jc w:val="center"/>
        <w:rPr/>
      </w:pPr>
      <w:r w:rsidDel="00000000" w:rsidR="00000000" w:rsidRPr="00000000">
        <w:rPr>
          <w:color w:val="666666"/>
          <w:rtl w:val="0"/>
        </w:rPr>
        <w:t xml:space="preserve">Five Pathways · DOME-Network · SOP · IA·MCP · AI Governance · ERP · AI Data Platform</w:t>
      </w:r>
      <w:r w:rsidDel="00000000" w:rsidR="00000000" w:rsidRPr="00000000">
        <w:rPr>
          <w:rtl w:val="0"/>
        </w:rPr>
      </w:r>
    </w:p>
    <w:p w:rsidR="00000000" w:rsidDel="00000000" w:rsidP="00000000" w:rsidRDefault="00000000" w:rsidRPr="00000000" w14:paraId="0000000C">
      <w:pPr>
        <w:spacing w:after="120" w:before="120" w:lineRule="auto"/>
        <w:rPr/>
      </w:pPr>
      <w:r w:rsidDel="00000000" w:rsidR="00000000" w:rsidRPr="00000000">
        <w:rPr>
          <w:rtl w:val="0"/>
        </w:rPr>
      </w:r>
    </w:p>
    <w:p w:rsidR="00000000" w:rsidDel="00000000" w:rsidP="00000000" w:rsidRDefault="00000000" w:rsidRPr="00000000" w14:paraId="0000000D">
      <w:pPr>
        <w:spacing w:after="120" w:before="120" w:lineRule="auto"/>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rFonts w:ascii="Arial" w:cs="Arial" w:eastAsia="Arial" w:hAnsi="Arial"/>
          <w:color w:val="666666"/>
          <w:sz w:val="18"/>
          <w:szCs w:val="18"/>
          <w:rtl w:val="0"/>
        </w:rPr>
        <w:t xml:space="preserve">ION-IR-2026-001  |  Version 4.0  |  22 July 2026</w:t>
      </w:r>
      <w:r w:rsidDel="00000000" w:rsidR="00000000" w:rsidRPr="00000000">
        <w:rPr>
          <w:rtl w:val="0"/>
        </w:rPr>
      </w:r>
    </w:p>
    <w:p w:rsidR="00000000" w:rsidDel="00000000" w:rsidP="00000000" w:rsidRDefault="00000000" w:rsidRPr="00000000" w14:paraId="0000000F">
      <w:pPr>
        <w:jc w:val="center"/>
        <w:rPr/>
      </w:pPr>
      <w:r w:rsidDel="00000000" w:rsidR="00000000" w:rsidRPr="00000000">
        <w:rPr>
          <w:rFonts w:ascii="Arial" w:cs="Arial" w:eastAsia="Arial" w:hAnsi="Arial"/>
          <w:b w:val="1"/>
          <w:bCs w:val="1"/>
          <w:color w:val="ff6b35"/>
          <w:sz w:val="18"/>
          <w:szCs w:val="18"/>
          <w:rtl w:val="0"/>
        </w:rPr>
        <w:t xml:space="preserve">CONFIDENTIAL</w:t>
      </w:r>
      <w:r w:rsidDel="00000000" w:rsidR="00000000" w:rsidRPr="00000000">
        <w:rPr>
          <w:rtl w:val="0"/>
        </w:rPr>
      </w:r>
    </w:p>
    <w:p w:rsidR="00000000" w:rsidDel="00000000" w:rsidP="00000000" w:rsidRDefault="00000000" w:rsidRPr="00000000" w14:paraId="00000010">
      <w:pPr>
        <w:spacing w:after="120" w:before="120" w:lineRule="auto"/>
        <w:rPr/>
      </w:pPr>
      <w:r w:rsidDel="00000000" w:rsidR="00000000" w:rsidRPr="00000000">
        <w:rPr>
          <w:rtl w:val="0"/>
        </w:rPr>
      </w:r>
    </w:p>
    <w:p w:rsidR="00000000" w:rsidDel="00000000" w:rsidP="00000000" w:rsidRDefault="00000000" w:rsidRPr="00000000" w14:paraId="00000011">
      <w:pPr>
        <w:spacing w:after="120" w:before="120" w:lineRule="auto"/>
        <w:rPr/>
      </w:pPr>
      <w:r w:rsidDel="00000000" w:rsidR="00000000" w:rsidRPr="00000000">
        <w:rPr>
          <w:rtl w:val="0"/>
        </w:rPr>
      </w:r>
    </w:p>
    <w:p w:rsidR="00000000" w:rsidDel="00000000" w:rsidP="00000000" w:rsidRDefault="00000000" w:rsidRPr="00000000" w14:paraId="00000012">
      <w:pPr>
        <w:spacing w:after="120" w:before="120" w:lineRule="auto"/>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Fonts w:ascii="Arial" w:cs="Arial" w:eastAsia="Arial" w:hAnsi="Arial"/>
          <w:color w:val="00b4d8"/>
          <w:sz w:val="20"/>
          <w:szCs w:val="20"/>
          <w:rtl w:val="0"/>
        </w:rPr>
        <w:t xml:space="preserve">www.ionity.today | ai@ionity.today</w:t>
      </w:r>
      <w:r w:rsidDel="00000000" w:rsidR="00000000" w:rsidRPr="00000000">
        <w:rPr>
          <w:rtl w:val="0"/>
        </w:rPr>
      </w:r>
    </w:p>
    <w:p w:rsidR="00000000" w:rsidDel="00000000" w:rsidP="00000000" w:rsidRDefault="00000000" w:rsidRPr="00000000" w14:paraId="00000014">
      <w:pPr>
        <w:rPr/>
      </w:pPr>
      <w:r w:rsidDel="00000000" w:rsidR="00000000" w:rsidRPr="00000000">
        <w:br w:type="page"/>
      </w:r>
      <w:r w:rsidDel="00000000" w:rsidR="00000000" w:rsidRPr="00000000">
        <w:rPr>
          <w:rtl w:val="0"/>
        </w:rPr>
      </w:r>
    </w:p>
    <w:p w:rsidR="00000000" w:rsidDel="00000000" w:rsidP="00000000" w:rsidRDefault="00000000" w:rsidRPr="00000000" w14:paraId="00000015">
      <w:pPr>
        <w:pStyle w:val="Heading1"/>
        <w:spacing w:after="120" w:before="300" w:lineRule="auto"/>
        <w:rPr/>
      </w:pPr>
      <w:r w:rsidDel="00000000" w:rsidR="00000000" w:rsidRPr="00000000">
        <w:rPr>
          <w:rFonts w:ascii="Arial" w:cs="Arial" w:eastAsia="Arial" w:hAnsi="Arial"/>
          <w:rtl w:val="0"/>
        </w:rPr>
        <w:t xml:space="preserve">Index – Table of Contents</w:t>
      </w:r>
      <w:r w:rsidDel="00000000" w:rsidR="00000000" w:rsidRPr="00000000">
        <w:rPr>
          <w:rtl w:val="0"/>
        </w:rPr>
      </w:r>
    </w:p>
    <w:p w:rsidR="00000000" w:rsidDel="00000000" w:rsidP="00000000" w:rsidRDefault="00000000" w:rsidRPr="00000000" w14:paraId="00000016">
      <w:pPr>
        <w:spacing w:after="80" w:before="80" w:lineRule="auto"/>
        <w:jc w:val="both"/>
        <w:rPr/>
      </w:pPr>
      <w:r w:rsidDel="00000000" w:rsidR="00000000" w:rsidRPr="00000000">
        <w:rPr>
          <w:rFonts w:ascii="Arial" w:cs="Arial" w:eastAsia="Arial" w:hAnsi="Arial"/>
          <w:b w:val="0"/>
          <w:bCs w:val="0"/>
          <w:i w:val="0"/>
          <w:iCs w:val="0"/>
          <w:color w:val="000000"/>
          <w:sz w:val="20"/>
          <w:szCs w:val="20"/>
          <w:rtl w:val="0"/>
        </w:rPr>
        <w:t xml:space="preserve">This document is structured into nineteen main sections plus appendices. Use this index to navigate directly to any section.</w:t>
      </w:r>
      <w:r w:rsidDel="00000000" w:rsidR="00000000" w:rsidRPr="00000000">
        <w:rPr>
          <w:rtl w:val="0"/>
        </w:rPr>
      </w:r>
    </w:p>
    <w:p w:rsidR="00000000" w:rsidDel="00000000" w:rsidP="00000000" w:rsidRDefault="00000000" w:rsidRPr="00000000" w14:paraId="00000017">
      <w:pPr>
        <w:spacing w:after="120" w:before="120" w:lineRule="auto"/>
        <w:rPr/>
      </w:pPr>
      <w:r w:rsidDel="00000000" w:rsidR="00000000" w:rsidRPr="00000000">
        <w:rPr>
          <w:rtl w:val="0"/>
        </w:rPr>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200"/>
        <w:gridCol w:w="6600"/>
        <w:gridCol w:w="1100"/>
      </w:tblGrid>
      <w:tr>
        <w:tc>
          <w:tcPr>
            <w:tcW w:w="1200" w:type="dxa"/>
            <w:shd w:val="clear" w:color="auto" w:fill="0D2137"/>
            <w:tcMar>
              <w:top w:w="45" w:type="dxa"/>
              <w:left w:w="85" w:type="dxa"/>
              <w:bottom w:w="45" w:type="dxa"/>
              <w:right w:w="85" w:type="dxa"/>
            </w:tcMar>
          </w:tcPr>
          <w:p>
            <w:pPr>
              <w:spacing w:after="0" w:before="0"/>
            </w:pPr>
            <w:r>
              <w:rPr>
                <w:b/>
                <w:color w:val="FFFFFF"/>
                <w:sz w:val="19"/>
              </w:rPr>
              <w:t xml:space="preserve">Section</w:t>
            </w:r>
          </w:p>
        </w:tc>
        <w:tc>
          <w:tcPr>
            <w:tcW w:w="6600" w:type="dxa"/>
            <w:shd w:val="clear" w:color="auto" w:fill="0D2137"/>
            <w:tcMar>
              <w:top w:w="45" w:type="dxa"/>
              <w:left w:w="85" w:type="dxa"/>
              <w:bottom w:w="45" w:type="dxa"/>
              <w:right w:w="85" w:type="dxa"/>
            </w:tcMar>
          </w:tcPr>
          <w:p>
            <w:pPr>
              <w:spacing w:after="0" w:before="0"/>
            </w:pPr>
            <w:r>
              <w:rPr>
                <w:b/>
                <w:color w:val="FFFFFF"/>
                <w:sz w:val="19"/>
              </w:rPr>
              <w:t xml:space="preserve">Topic</w:t>
            </w:r>
          </w:p>
        </w:tc>
        <w:tc>
          <w:tcPr>
            <w:tcW w:w="1100" w:type="dxa"/>
            <w:shd w:val="clear" w:color="auto" w:fill="0D2137"/>
            <w:tcMar>
              <w:top w:w="45" w:type="dxa"/>
              <w:left w:w="85" w:type="dxa"/>
              <w:bottom w:w="45" w:type="dxa"/>
              <w:right w:w="85" w:type="dxa"/>
            </w:tcMar>
          </w:tcPr>
          <w:p>
            <w:pPr>
              <w:spacing w:after="0" w:before="0"/>
            </w:pPr>
            <w:r>
              <w:rPr>
                <w:b/>
                <w:color w:val="FFFFFF"/>
                <w:sz w:val="19"/>
              </w:rPr>
              <w:t xml:space="preserve">Page</w:t>
            </w:r>
          </w:p>
        </w:tc>
      </w:tr>
      <w:tr>
        <w:tc>
          <w:tcPr>
            <w:tcW w:w="1200" w:type="dxa"/>
            <w:tcMar>
              <w:top w:w="45" w:type="dxa"/>
              <w:left w:w="85" w:type="dxa"/>
              <w:bottom w:w="45" w:type="dxa"/>
              <w:right w:w="85" w:type="dxa"/>
            </w:tcMar>
          </w:tcPr>
          <w:p>
            <w:pPr>
              <w:spacing w:after="0" w:before="0"/>
            </w:pPr>
            <w:r>
              <w:rPr>
                <w:b w:val="0"/>
                <w:color w:val="33414F"/>
                <w:sz w:val="19"/>
              </w:rPr>
              <w:t xml:space="preserve">1</w:t>
            </w:r>
          </w:p>
        </w:tc>
        <w:tc>
          <w:tcPr>
            <w:tcW w:w="6600" w:type="dxa"/>
            <w:tcMar>
              <w:top w:w="45" w:type="dxa"/>
              <w:left w:w="85" w:type="dxa"/>
              <w:bottom w:w="45" w:type="dxa"/>
              <w:right w:w="85" w:type="dxa"/>
            </w:tcMar>
          </w:tcPr>
          <w:p>
            <w:pPr>
              <w:spacing w:after="0" w:before="0"/>
            </w:pPr>
            <w:r>
              <w:rPr>
                <w:b w:val="0"/>
                <w:color w:val="33414F"/>
                <w:sz w:val="19"/>
              </w:rPr>
              <w:t xml:space="preserve">Executive Summary</w:t>
            </w:r>
          </w:p>
        </w:tc>
        <w:tc>
          <w:tcPr>
            <w:tcW w:w="1100" w:type="dxa"/>
            <w:tcMar>
              <w:top w:w="45" w:type="dxa"/>
              <w:left w:w="85" w:type="dxa"/>
              <w:bottom w:w="45" w:type="dxa"/>
              <w:right w:w="85" w:type="dxa"/>
            </w:tcMar>
          </w:tcPr>
          <w:p>
            <w:pPr>
              <w:spacing w:after="0" w:before="0"/>
            </w:pPr>
            <w:r>
              <w:rPr>
                <w:b w:val="0"/>
                <w:color w:val="33414F"/>
                <w:sz w:val="19"/>
              </w:rPr>
              <w:t xml:space="preserve">3</w:t>
            </w:r>
          </w:p>
        </w:tc>
      </w:tr>
      <w:tr>
        <w:tc>
          <w:tcPr>
            <w:tcW w:w="1200" w:type="dxa"/>
            <w:tcMar>
              <w:top w:w="45" w:type="dxa"/>
              <w:left w:w="85" w:type="dxa"/>
              <w:bottom w:w="45" w:type="dxa"/>
              <w:right w:w="85" w:type="dxa"/>
            </w:tcMar>
          </w:tcPr>
          <w:p>
            <w:pPr>
              <w:spacing w:after="0" w:before="0"/>
            </w:pPr>
            <w:r>
              <w:rPr>
                <w:b w:val="0"/>
                <w:color w:val="33414F"/>
                <w:sz w:val="19"/>
              </w:rPr>
              <w:t xml:space="preserve">2</w:t>
            </w:r>
          </w:p>
        </w:tc>
        <w:tc>
          <w:tcPr>
            <w:tcW w:w="6600" w:type="dxa"/>
            <w:tcMar>
              <w:top w:w="45" w:type="dxa"/>
              <w:left w:w="85" w:type="dxa"/>
              <w:bottom w:w="45" w:type="dxa"/>
              <w:right w:w="85" w:type="dxa"/>
            </w:tcMar>
          </w:tcPr>
          <w:p>
            <w:pPr>
              <w:spacing w:after="0" w:before="0"/>
            </w:pPr>
            <w:r>
              <w:rPr>
                <w:b w:val="0"/>
                <w:color w:val="33414F"/>
                <w:sz w:val="19"/>
              </w:rPr>
              <w:t xml:space="preserve">Purpose, Scope &amp; SOW Alignment — 10 Pillars + 5 Foundations</w:t>
            </w:r>
          </w:p>
        </w:tc>
        <w:tc>
          <w:tcPr>
            <w:tcW w:w="1100" w:type="dxa"/>
            <w:tcMar>
              <w:top w:w="45" w:type="dxa"/>
              <w:left w:w="85" w:type="dxa"/>
              <w:bottom w:w="45" w:type="dxa"/>
              <w:right w:w="85" w:type="dxa"/>
            </w:tcMar>
          </w:tcPr>
          <w:p>
            <w:pPr>
              <w:spacing w:after="0" w:before="0"/>
            </w:pPr>
            <w:r>
              <w:rPr>
                <w:b w:val="0"/>
                <w:color w:val="33414F"/>
                <w:sz w:val="19"/>
              </w:rPr>
              <w:t xml:space="preserve">3</w:t>
            </w:r>
          </w:p>
        </w:tc>
      </w:tr>
      <w:tr>
        <w:tc>
          <w:tcPr>
            <w:tcW w:w="1200" w:type="dxa"/>
            <w:tcMar>
              <w:top w:w="45" w:type="dxa"/>
              <w:left w:w="85" w:type="dxa"/>
              <w:bottom w:w="45" w:type="dxa"/>
              <w:right w:w="85" w:type="dxa"/>
            </w:tcMar>
          </w:tcPr>
          <w:p>
            <w:pPr>
              <w:spacing w:after="0" w:before="0"/>
            </w:pPr>
            <w:r>
              <w:rPr>
                <w:b w:val="0"/>
                <w:color w:val="33414F"/>
                <w:sz w:val="19"/>
              </w:rPr>
              <w:t xml:space="preserve">3</w:t>
            </w:r>
          </w:p>
        </w:tc>
        <w:tc>
          <w:tcPr>
            <w:tcW w:w="6600" w:type="dxa"/>
            <w:tcMar>
              <w:top w:w="45" w:type="dxa"/>
              <w:left w:w="85" w:type="dxa"/>
              <w:bottom w:w="45" w:type="dxa"/>
              <w:right w:w="85" w:type="dxa"/>
            </w:tcMar>
          </w:tcPr>
          <w:p>
            <w:pPr>
              <w:spacing w:after="0" w:before="0"/>
            </w:pPr>
            <w:r>
              <w:rPr>
                <w:b w:val="0"/>
                <w:color w:val="33414F"/>
                <w:sz w:val="19"/>
              </w:rPr>
              <w:t xml:space="preserve">Engagement Record — Sprints, Tracker &amp; the 160-File Repository</w:t>
            </w:r>
          </w:p>
        </w:tc>
        <w:tc>
          <w:tcPr>
            <w:tcW w:w="1100" w:type="dxa"/>
            <w:tcMar>
              <w:top w:w="45" w:type="dxa"/>
              <w:left w:w="85" w:type="dxa"/>
              <w:bottom w:w="45" w:type="dxa"/>
              <w:right w:w="85" w:type="dxa"/>
            </w:tcMar>
          </w:tcPr>
          <w:p>
            <w:pPr>
              <w:spacing w:after="0" w:before="0"/>
            </w:pPr>
            <w:r>
              <w:rPr>
                <w:b w:val="0"/>
                <w:color w:val="33414F"/>
                <w:sz w:val="19"/>
              </w:rPr>
              <w:t xml:space="preserve">4</w:t>
            </w:r>
          </w:p>
        </w:tc>
      </w:tr>
      <w:tr>
        <w:tc>
          <w:tcPr>
            <w:tcW w:w="1200" w:type="dxa"/>
            <w:tcMar>
              <w:top w:w="45" w:type="dxa"/>
              <w:left w:w="85" w:type="dxa"/>
              <w:bottom w:w="45" w:type="dxa"/>
              <w:right w:w="85" w:type="dxa"/>
            </w:tcMar>
          </w:tcPr>
          <w:p>
            <w:pPr>
              <w:spacing w:after="0" w:before="0"/>
            </w:pPr>
            <w:r>
              <w:rPr>
                <w:b w:val="0"/>
                <w:color w:val="33414F"/>
                <w:sz w:val="19"/>
              </w:rPr>
              <w:t xml:space="preserve">4</w:t>
            </w:r>
          </w:p>
        </w:tc>
        <w:tc>
          <w:tcPr>
            <w:tcW w:w="6600" w:type="dxa"/>
            <w:tcMar>
              <w:top w:w="45" w:type="dxa"/>
              <w:left w:w="85" w:type="dxa"/>
              <w:bottom w:w="45" w:type="dxa"/>
              <w:right w:w="85" w:type="dxa"/>
            </w:tcMar>
          </w:tcPr>
          <w:p>
            <w:pPr>
              <w:spacing w:after="0" w:before="0"/>
            </w:pPr>
            <w:r>
              <w:rPr>
                <w:b w:val="0"/>
                <w:color w:val="33414F"/>
                <w:sz w:val="19"/>
              </w:rPr>
              <w:t xml:space="preserve">Programme Phasing per SOP — Phase 1 → 2 → 3</w:t>
            </w:r>
          </w:p>
        </w:tc>
        <w:tc>
          <w:tcPr>
            <w:tcW w:w="1100" w:type="dxa"/>
            <w:tcMar>
              <w:top w:w="45" w:type="dxa"/>
              <w:left w:w="85" w:type="dxa"/>
              <w:bottom w:w="45" w:type="dxa"/>
              <w:right w:w="85" w:type="dxa"/>
            </w:tcMar>
          </w:tcPr>
          <w:p>
            <w:pPr>
              <w:spacing w:after="0" w:before="0"/>
            </w:pPr>
            <w:r>
              <w:rPr>
                <w:b w:val="0"/>
                <w:color w:val="33414F"/>
                <w:sz w:val="19"/>
              </w:rPr>
              <w:t xml:space="preserve">4</w:t>
            </w:r>
          </w:p>
        </w:tc>
      </w:tr>
      <w:tr>
        <w:tc>
          <w:tcPr>
            <w:tcW w:w="1200" w:type="dxa"/>
            <w:tcMar>
              <w:top w:w="45" w:type="dxa"/>
              <w:left w:w="85" w:type="dxa"/>
              <w:bottom w:w="45" w:type="dxa"/>
              <w:right w:w="85" w:type="dxa"/>
            </w:tcMar>
          </w:tcPr>
          <w:p>
            <w:pPr>
              <w:spacing w:after="0" w:before="0"/>
            </w:pPr>
            <w:r>
              <w:rPr>
                <w:b w:val="0"/>
                <w:color w:val="33414F"/>
                <w:sz w:val="19"/>
              </w:rPr>
              <w:t xml:space="preserve">5</w:t>
            </w:r>
          </w:p>
        </w:tc>
        <w:tc>
          <w:tcPr>
            <w:tcW w:w="6600" w:type="dxa"/>
            <w:tcMar>
              <w:top w:w="45" w:type="dxa"/>
              <w:left w:w="85" w:type="dxa"/>
              <w:bottom w:w="45" w:type="dxa"/>
              <w:right w:w="85" w:type="dxa"/>
            </w:tcMar>
          </w:tcPr>
          <w:p>
            <w:pPr>
              <w:spacing w:after="0" w:before="0"/>
            </w:pPr>
            <w:r>
              <w:rPr>
                <w:b w:val="0"/>
                <w:color w:val="33414F"/>
                <w:sz w:val="19"/>
              </w:rPr>
              <w:t xml:space="preserve">Pathways — Five Options for the AWS Workloads, the Client Decides</w:t>
            </w:r>
          </w:p>
        </w:tc>
        <w:tc>
          <w:tcPr>
            <w:tcW w:w="1100" w:type="dxa"/>
            <w:tcMar>
              <w:top w:w="45" w:type="dxa"/>
              <w:left w:w="85" w:type="dxa"/>
              <w:bottom w:w="45" w:type="dxa"/>
              <w:right w:w="85" w:type="dxa"/>
            </w:tcMar>
          </w:tcPr>
          <w:p>
            <w:pPr>
              <w:spacing w:after="0" w:before="0"/>
            </w:pPr>
            <w:r>
              <w:rPr>
                <w:b w:val="0"/>
                <w:color w:val="33414F"/>
                <w:sz w:val="19"/>
              </w:rPr>
              <w:t xml:space="preserve">6</w:t>
            </w:r>
          </w:p>
        </w:tc>
      </w:tr>
      <w:tr>
        <w:tc>
          <w:tcPr>
            <w:tcW w:w="1200" w:type="dxa"/>
            <w:tcMar>
              <w:top w:w="45" w:type="dxa"/>
              <w:left w:w="85" w:type="dxa"/>
              <w:bottom w:w="45" w:type="dxa"/>
              <w:right w:w="85" w:type="dxa"/>
            </w:tcMar>
          </w:tcPr>
          <w:p>
            <w:pPr>
              <w:spacing w:after="0" w:before="0"/>
            </w:pPr>
            <w:r>
              <w:rPr>
                <w:b w:val="0"/>
                <w:color w:val="33414F"/>
                <w:sz w:val="19"/>
              </w:rPr>
              <w:t xml:space="preserve">6</w:t>
            </w:r>
          </w:p>
        </w:tc>
        <w:tc>
          <w:tcPr>
            <w:tcW w:w="6600" w:type="dxa"/>
            <w:tcMar>
              <w:top w:w="45" w:type="dxa"/>
              <w:left w:w="85" w:type="dxa"/>
              <w:bottom w:w="45" w:type="dxa"/>
              <w:right w:w="85" w:type="dxa"/>
            </w:tcMar>
          </w:tcPr>
          <w:p>
            <w:pPr>
              <w:spacing w:after="0" w:before="0"/>
            </w:pPr>
            <w:r>
              <w:rPr>
                <w:b w:val="0"/>
                <w:color w:val="33414F"/>
                <w:sz w:val="19"/>
              </w:rPr>
              <w:t xml:space="preserve">DOME-Network — The Backbone Path</w:t>
            </w:r>
          </w:p>
        </w:tc>
        <w:tc>
          <w:tcPr>
            <w:tcW w:w="1100" w:type="dxa"/>
            <w:tcMar>
              <w:top w:w="45" w:type="dxa"/>
              <w:left w:w="85" w:type="dxa"/>
              <w:bottom w:w="45" w:type="dxa"/>
              <w:right w:w="85" w:type="dxa"/>
            </w:tcMar>
          </w:tcPr>
          <w:p>
            <w:pPr>
              <w:spacing w:after="0" w:before="0"/>
            </w:pPr>
            <w:r>
              <w:rPr>
                <w:b w:val="0"/>
                <w:color w:val="33414F"/>
                <w:sz w:val="19"/>
              </w:rPr>
              <w:t xml:space="preserve">7</w:t>
            </w:r>
          </w:p>
        </w:tc>
      </w:tr>
      <w:tr>
        <w:tc>
          <w:tcPr>
            <w:tcW w:w="1200" w:type="dxa"/>
            <w:tcMar>
              <w:top w:w="45" w:type="dxa"/>
              <w:left w:w="85" w:type="dxa"/>
              <w:bottom w:w="45" w:type="dxa"/>
              <w:right w:w="85" w:type="dxa"/>
            </w:tcMar>
          </w:tcPr>
          <w:p>
            <w:pPr>
              <w:spacing w:after="0" w:before="0"/>
            </w:pPr>
            <w:r>
              <w:rPr>
                <w:b w:val="0"/>
                <w:color w:val="33414F"/>
                <w:sz w:val="19"/>
              </w:rPr>
              <w:t xml:space="preserve">7</w:t>
            </w:r>
          </w:p>
        </w:tc>
        <w:tc>
          <w:tcPr>
            <w:tcW w:w="6600" w:type="dxa"/>
            <w:tcMar>
              <w:top w:w="45" w:type="dxa"/>
              <w:left w:w="85" w:type="dxa"/>
              <w:bottom w:w="45" w:type="dxa"/>
              <w:right w:w="85" w:type="dxa"/>
            </w:tcMar>
          </w:tcPr>
          <w:p>
            <w:pPr>
              <w:spacing w:after="0" w:before="0"/>
            </w:pPr>
            <w:r>
              <w:rPr>
                <w:b w:val="0"/>
                <w:color w:val="33414F"/>
                <w:sz w:val="19"/>
              </w:rPr>
              <w:t xml:space="preserve">Systems Inventory &amp; Disposition — the 21 Systems</w:t>
            </w:r>
          </w:p>
        </w:tc>
        <w:tc>
          <w:tcPr>
            <w:tcW w:w="1100" w:type="dxa"/>
            <w:tcMar>
              <w:top w:w="45" w:type="dxa"/>
              <w:left w:w="85" w:type="dxa"/>
              <w:bottom w:w="45" w:type="dxa"/>
              <w:right w:w="85" w:type="dxa"/>
            </w:tcMar>
          </w:tcPr>
          <w:p>
            <w:pPr>
              <w:spacing w:after="0" w:before="0"/>
            </w:pPr>
            <w:r>
              <w:rPr>
                <w:b w:val="0"/>
                <w:color w:val="33414F"/>
                <w:sz w:val="19"/>
              </w:rPr>
              <w:t xml:space="preserve">8</w:t>
            </w:r>
          </w:p>
        </w:tc>
      </w:tr>
      <w:tr>
        <w:tc>
          <w:tcPr>
            <w:tcW w:w="1200" w:type="dxa"/>
            <w:tcMar>
              <w:top w:w="45" w:type="dxa"/>
              <w:left w:w="85" w:type="dxa"/>
              <w:bottom w:w="45" w:type="dxa"/>
              <w:right w:w="85" w:type="dxa"/>
            </w:tcMar>
          </w:tcPr>
          <w:p>
            <w:pPr>
              <w:spacing w:after="0" w:before="0"/>
            </w:pPr>
            <w:r>
              <w:rPr>
                <w:b w:val="0"/>
                <w:color w:val="33414F"/>
                <w:sz w:val="19"/>
              </w:rPr>
              <w:t xml:space="preserve">8</w:t>
            </w:r>
          </w:p>
        </w:tc>
        <w:tc>
          <w:tcPr>
            <w:tcW w:w="6600" w:type="dxa"/>
            <w:tcMar>
              <w:top w:w="45" w:type="dxa"/>
              <w:left w:w="85" w:type="dxa"/>
              <w:bottom w:w="45" w:type="dxa"/>
              <w:right w:w="85" w:type="dxa"/>
            </w:tcMar>
          </w:tcPr>
          <w:p>
            <w:pPr>
              <w:spacing w:after="0" w:before="0"/>
            </w:pPr>
            <w:r>
              <w:rPr>
                <w:b w:val="0"/>
                <w:color w:val="33414F"/>
                <w:sz w:val="19"/>
              </w:rPr>
              <w:t xml:space="preserve">Audit Outcome — Findings Register &amp; IA·MCP Baseline</w:t>
            </w:r>
          </w:p>
        </w:tc>
        <w:tc>
          <w:tcPr>
            <w:tcW w:w="1100" w:type="dxa"/>
            <w:tcMar>
              <w:top w:w="45" w:type="dxa"/>
              <w:left w:w="85" w:type="dxa"/>
              <w:bottom w:w="45" w:type="dxa"/>
              <w:right w:w="85" w:type="dxa"/>
            </w:tcMar>
          </w:tcPr>
          <w:p>
            <w:pPr>
              <w:spacing w:after="0" w:before="0"/>
            </w:pPr>
            <w:r>
              <w:rPr>
                <w:b w:val="0"/>
                <w:color w:val="33414F"/>
                <w:sz w:val="19"/>
              </w:rPr>
              <w:t xml:space="preserve">11</w:t>
            </w:r>
          </w:p>
        </w:tc>
      </w:tr>
      <w:tr>
        <w:tc>
          <w:tcPr>
            <w:tcW w:w="1200" w:type="dxa"/>
            <w:tcMar>
              <w:top w:w="45" w:type="dxa"/>
              <w:left w:w="85" w:type="dxa"/>
              <w:bottom w:w="45" w:type="dxa"/>
              <w:right w:w="85" w:type="dxa"/>
            </w:tcMar>
          </w:tcPr>
          <w:p>
            <w:pPr>
              <w:spacing w:after="0" w:before="0"/>
            </w:pPr>
            <w:r>
              <w:rPr>
                <w:b w:val="0"/>
                <w:color w:val="33414F"/>
                <w:sz w:val="19"/>
              </w:rPr>
              <w:t xml:space="preserve">9</w:t>
            </w:r>
          </w:p>
        </w:tc>
        <w:tc>
          <w:tcPr>
            <w:tcW w:w="6600" w:type="dxa"/>
            <w:tcMar>
              <w:top w:w="45" w:type="dxa"/>
              <w:left w:w="85" w:type="dxa"/>
              <w:bottom w:w="45" w:type="dxa"/>
              <w:right w:w="85" w:type="dxa"/>
            </w:tcMar>
          </w:tcPr>
          <w:p>
            <w:pPr>
              <w:spacing w:after="0" w:before="0"/>
            </w:pPr>
            <w:r>
              <w:rPr>
                <w:b w:val="0"/>
                <w:color w:val="33414F"/>
                <w:sz w:val="19"/>
              </w:rPr>
              <w:t xml:space="preserve">Target Architecture (incl. 9.1 Ionity Hosting · 9.2 What Lands Where)</w:t>
            </w:r>
          </w:p>
        </w:tc>
        <w:tc>
          <w:tcPr>
            <w:tcW w:w="1100" w:type="dxa"/>
            <w:tcMar>
              <w:top w:w="45" w:type="dxa"/>
              <w:left w:w="85" w:type="dxa"/>
              <w:bottom w:w="45" w:type="dxa"/>
              <w:right w:w="85" w:type="dxa"/>
            </w:tcMar>
          </w:tcPr>
          <w:p>
            <w:pPr>
              <w:spacing w:after="0" w:before="0"/>
            </w:pPr>
            <w:r>
              <w:rPr>
                <w:b w:val="0"/>
                <w:color w:val="33414F"/>
                <w:sz w:val="19"/>
              </w:rPr>
              <w:t xml:space="preserve">14</w:t>
            </w:r>
          </w:p>
        </w:tc>
      </w:tr>
      <w:tr>
        <w:tc>
          <w:tcPr>
            <w:tcW w:w="1200" w:type="dxa"/>
            <w:tcMar>
              <w:top w:w="45" w:type="dxa"/>
              <w:left w:w="85" w:type="dxa"/>
              <w:bottom w:w="45" w:type="dxa"/>
              <w:right w:w="85" w:type="dxa"/>
            </w:tcMar>
          </w:tcPr>
          <w:p>
            <w:pPr>
              <w:spacing w:after="0" w:before="0"/>
            </w:pPr>
            <w:r>
              <w:rPr>
                <w:b w:val="0"/>
                <w:color w:val="33414F"/>
                <w:sz w:val="19"/>
              </w:rPr>
              <w:t xml:space="preserve">10</w:t>
            </w:r>
          </w:p>
        </w:tc>
        <w:tc>
          <w:tcPr>
            <w:tcW w:w="6600" w:type="dxa"/>
            <w:tcMar>
              <w:top w:w="45" w:type="dxa"/>
              <w:left w:w="85" w:type="dxa"/>
              <w:bottom w:w="45" w:type="dxa"/>
              <w:right w:w="85" w:type="dxa"/>
            </w:tcMar>
          </w:tcPr>
          <w:p>
            <w:pPr>
              <w:spacing w:after="0" w:before="0"/>
            </w:pPr>
            <w:r>
              <w:rPr>
                <w:b w:val="0"/>
                <w:color w:val="33414F"/>
                <w:sz w:val="19"/>
              </w:rPr>
              <w:t xml:space="preserve">Implementation Timeline &amp; Workstreams</w:t>
            </w:r>
          </w:p>
        </w:tc>
        <w:tc>
          <w:tcPr>
            <w:tcW w:w="1100" w:type="dxa"/>
            <w:tcMar>
              <w:top w:w="45" w:type="dxa"/>
              <w:left w:w="85" w:type="dxa"/>
              <w:bottom w:w="45" w:type="dxa"/>
              <w:right w:w="85" w:type="dxa"/>
            </w:tcMar>
          </w:tcPr>
          <w:p>
            <w:pPr>
              <w:spacing w:after="0" w:before="0"/>
            </w:pPr>
            <w:r>
              <w:rPr>
                <w:b w:val="0"/>
                <w:color w:val="33414F"/>
                <w:sz w:val="19"/>
              </w:rPr>
              <w:t xml:space="preserve">15</w:t>
            </w:r>
          </w:p>
        </w:tc>
      </w:tr>
      <w:tr>
        <w:tc>
          <w:tcPr>
            <w:tcW w:w="1200" w:type="dxa"/>
            <w:tcMar>
              <w:top w:w="45" w:type="dxa"/>
              <w:left w:w="85" w:type="dxa"/>
              <w:bottom w:w="45" w:type="dxa"/>
              <w:right w:w="85" w:type="dxa"/>
            </w:tcMar>
          </w:tcPr>
          <w:p>
            <w:pPr>
              <w:spacing w:after="0" w:before="0"/>
            </w:pPr>
            <w:r>
              <w:rPr>
                <w:b w:val="0"/>
                <w:color w:val="33414F"/>
                <w:sz w:val="19"/>
              </w:rPr>
              <w:t xml:space="preserve">11</w:t>
            </w:r>
          </w:p>
        </w:tc>
        <w:tc>
          <w:tcPr>
            <w:tcW w:w="6600" w:type="dxa"/>
            <w:tcMar>
              <w:top w:w="45" w:type="dxa"/>
              <w:left w:w="85" w:type="dxa"/>
              <w:bottom w:w="45" w:type="dxa"/>
              <w:right w:w="85" w:type="dxa"/>
            </w:tcMar>
          </w:tcPr>
          <w:p>
            <w:pPr>
              <w:spacing w:after="0" w:before="0"/>
            </w:pPr>
            <w:r>
              <w:rPr>
                <w:b w:val="0"/>
                <w:color w:val="33414F"/>
                <w:sz w:val="19"/>
              </w:rPr>
              <w:t xml:space="preserve">Workstream Detail &amp; RACI</w:t>
            </w:r>
          </w:p>
        </w:tc>
        <w:tc>
          <w:tcPr>
            <w:tcW w:w="1100" w:type="dxa"/>
            <w:tcMar>
              <w:top w:w="45" w:type="dxa"/>
              <w:left w:w="85" w:type="dxa"/>
              <w:bottom w:w="45" w:type="dxa"/>
              <w:right w:w="85" w:type="dxa"/>
            </w:tcMar>
          </w:tcPr>
          <w:p>
            <w:pPr>
              <w:spacing w:after="0" w:before="0"/>
            </w:pPr>
            <w:r>
              <w:rPr>
                <w:b w:val="0"/>
                <w:color w:val="33414F"/>
                <w:sz w:val="19"/>
              </w:rPr>
              <w:t xml:space="preserve">17</w:t>
            </w:r>
          </w:p>
        </w:tc>
      </w:tr>
      <w:tr>
        <w:tc>
          <w:tcPr>
            <w:tcW w:w="1200" w:type="dxa"/>
            <w:tcMar>
              <w:top w:w="45" w:type="dxa"/>
              <w:left w:w="85" w:type="dxa"/>
              <w:bottom w:w="45" w:type="dxa"/>
              <w:right w:w="85" w:type="dxa"/>
            </w:tcMar>
          </w:tcPr>
          <w:p>
            <w:pPr>
              <w:spacing w:after="0" w:before="0"/>
            </w:pPr>
            <w:r>
              <w:rPr>
                <w:b w:val="0"/>
                <w:color w:val="33414F"/>
                <w:sz w:val="19"/>
              </w:rPr>
              <w:t xml:space="preserve">12</w:t>
            </w:r>
          </w:p>
        </w:tc>
        <w:tc>
          <w:tcPr>
            <w:tcW w:w="6600" w:type="dxa"/>
            <w:tcMar>
              <w:top w:w="45" w:type="dxa"/>
              <w:left w:w="85" w:type="dxa"/>
              <w:bottom w:w="45" w:type="dxa"/>
              <w:right w:w="85" w:type="dxa"/>
            </w:tcMar>
          </w:tcPr>
          <w:p>
            <w:pPr>
              <w:spacing w:after="0" w:before="0"/>
            </w:pPr>
            <w:r>
              <w:rPr>
                <w:b w:val="0"/>
                <w:color w:val="33414F"/>
                <w:sz w:val="19"/>
              </w:rPr>
              <w:t xml:space="preserve">SOP — Standard Operating Procedures</w:t>
            </w:r>
          </w:p>
        </w:tc>
        <w:tc>
          <w:tcPr>
            <w:tcW w:w="1100" w:type="dxa"/>
            <w:tcMar>
              <w:top w:w="45" w:type="dxa"/>
              <w:left w:w="85" w:type="dxa"/>
              <w:bottom w:w="45" w:type="dxa"/>
              <w:right w:w="85" w:type="dxa"/>
            </w:tcMar>
          </w:tcPr>
          <w:p>
            <w:pPr>
              <w:spacing w:after="0" w:before="0"/>
            </w:pPr>
            <w:r>
              <w:rPr>
                <w:b w:val="0"/>
                <w:color w:val="33414F"/>
                <w:sz w:val="19"/>
              </w:rPr>
              <w:t xml:space="preserve">18</w:t>
            </w:r>
          </w:p>
        </w:tc>
      </w:tr>
      <w:tr>
        <w:tc>
          <w:tcPr>
            <w:tcW w:w="1200" w:type="dxa"/>
            <w:tcMar>
              <w:top w:w="45" w:type="dxa"/>
              <w:left w:w="85" w:type="dxa"/>
              <w:bottom w:w="45" w:type="dxa"/>
              <w:right w:w="85" w:type="dxa"/>
            </w:tcMar>
          </w:tcPr>
          <w:p>
            <w:pPr>
              <w:spacing w:after="0" w:before="0"/>
            </w:pPr>
            <w:r>
              <w:rPr>
                <w:b w:val="0"/>
                <w:color w:val="33414F"/>
                <w:sz w:val="19"/>
              </w:rPr>
              <w:t xml:space="preserve">13</w:t>
            </w:r>
          </w:p>
        </w:tc>
        <w:tc>
          <w:tcPr>
            <w:tcW w:w="6600" w:type="dxa"/>
            <w:tcMar>
              <w:top w:w="45" w:type="dxa"/>
              <w:left w:w="85" w:type="dxa"/>
              <w:bottom w:w="45" w:type="dxa"/>
              <w:right w:w="85" w:type="dxa"/>
            </w:tcMar>
          </w:tcPr>
          <w:p>
            <w:pPr>
              <w:spacing w:after="0" w:before="0"/>
            </w:pPr>
            <w:r>
              <w:rPr>
                <w:b w:val="0"/>
                <w:color w:val="33414F"/>
                <w:sz w:val="19"/>
              </w:rPr>
              <w:t xml:space="preserve">IA·MCP v1.7.0 — Forensic Audit Engine</w:t>
            </w:r>
          </w:p>
        </w:tc>
        <w:tc>
          <w:tcPr>
            <w:tcW w:w="1100" w:type="dxa"/>
            <w:tcMar>
              <w:top w:w="45" w:type="dxa"/>
              <w:left w:w="85" w:type="dxa"/>
              <w:bottom w:w="45" w:type="dxa"/>
              <w:right w:w="85" w:type="dxa"/>
            </w:tcMar>
          </w:tcPr>
          <w:p>
            <w:pPr>
              <w:spacing w:after="0" w:before="0"/>
            </w:pPr>
            <w:r>
              <w:rPr>
                <w:b w:val="0"/>
                <w:color w:val="33414F"/>
                <w:sz w:val="19"/>
              </w:rPr>
              <w:t xml:space="preserve">19</w:t>
            </w:r>
          </w:p>
        </w:tc>
      </w:tr>
      <w:tr>
        <w:tc>
          <w:tcPr>
            <w:tcW w:w="1200" w:type="dxa"/>
            <w:tcMar>
              <w:top w:w="45" w:type="dxa"/>
              <w:left w:w="85" w:type="dxa"/>
              <w:bottom w:w="45" w:type="dxa"/>
              <w:right w:w="85" w:type="dxa"/>
            </w:tcMar>
          </w:tcPr>
          <w:p>
            <w:pPr>
              <w:spacing w:after="0" w:before="0"/>
            </w:pPr>
            <w:r>
              <w:rPr>
                <w:b w:val="0"/>
                <w:color w:val="33414F"/>
                <w:sz w:val="19"/>
              </w:rPr>
              <w:t xml:space="preserve">14</w:t>
            </w:r>
          </w:p>
        </w:tc>
        <w:tc>
          <w:tcPr>
            <w:tcW w:w="6600" w:type="dxa"/>
            <w:tcMar>
              <w:top w:w="45" w:type="dxa"/>
              <w:left w:w="85" w:type="dxa"/>
              <w:bottom w:w="45" w:type="dxa"/>
              <w:right w:w="85" w:type="dxa"/>
            </w:tcMar>
          </w:tcPr>
          <w:p>
            <w:pPr>
              <w:spacing w:after="0" w:before="0"/>
            </w:pPr>
            <w:r>
              <w:rPr>
                <w:b w:val="0"/>
                <w:color w:val="33414F"/>
                <w:sz w:val="19"/>
              </w:rPr>
              <w:t xml:space="preserve">AI Governance &amp; Compliance Alignment</w:t>
            </w:r>
          </w:p>
        </w:tc>
        <w:tc>
          <w:tcPr>
            <w:tcW w:w="1100" w:type="dxa"/>
            <w:tcMar>
              <w:top w:w="45" w:type="dxa"/>
              <w:left w:w="85" w:type="dxa"/>
              <w:bottom w:w="45" w:type="dxa"/>
              <w:right w:w="85" w:type="dxa"/>
            </w:tcMar>
          </w:tcPr>
          <w:p>
            <w:pPr>
              <w:spacing w:after="0" w:before="0"/>
            </w:pPr>
            <w:r>
              <w:rPr>
                <w:b w:val="0"/>
                <w:color w:val="33414F"/>
                <w:sz w:val="19"/>
              </w:rPr>
              <w:t xml:space="preserve">20</w:t>
            </w:r>
          </w:p>
        </w:tc>
      </w:tr>
      <w:tr>
        <w:tc>
          <w:tcPr>
            <w:tcW w:w="1200" w:type="dxa"/>
            <w:tcMar>
              <w:top w:w="45" w:type="dxa"/>
              <w:left w:w="85" w:type="dxa"/>
              <w:bottom w:w="45" w:type="dxa"/>
              <w:right w:w="85" w:type="dxa"/>
            </w:tcMar>
          </w:tcPr>
          <w:p>
            <w:pPr>
              <w:spacing w:after="0" w:before="0"/>
            </w:pPr>
            <w:r>
              <w:rPr>
                <w:b w:val="0"/>
                <w:color w:val="33414F"/>
                <w:sz w:val="19"/>
              </w:rPr>
              <w:t xml:space="preserve">15</w:t>
            </w:r>
          </w:p>
        </w:tc>
        <w:tc>
          <w:tcPr>
            <w:tcW w:w="6600" w:type="dxa"/>
            <w:tcMar>
              <w:top w:w="45" w:type="dxa"/>
              <w:left w:w="85" w:type="dxa"/>
              <w:bottom w:w="45" w:type="dxa"/>
              <w:right w:w="85" w:type="dxa"/>
            </w:tcMar>
          </w:tcPr>
          <w:p>
            <w:pPr>
              <w:spacing w:after="0" w:before="0"/>
            </w:pPr>
            <w:r>
              <w:rPr>
                <w:b w:val="0"/>
                <w:color w:val="33414F"/>
                <w:sz w:val="19"/>
              </w:rPr>
              <w:t xml:space="preserve">Cost Baseline &amp; Commercial Note (Indicative)</w:t>
            </w:r>
          </w:p>
        </w:tc>
        <w:tc>
          <w:tcPr>
            <w:tcW w:w="1100" w:type="dxa"/>
            <w:tcMar>
              <w:top w:w="45" w:type="dxa"/>
              <w:left w:w="85" w:type="dxa"/>
              <w:bottom w:w="45" w:type="dxa"/>
              <w:right w:w="85" w:type="dxa"/>
            </w:tcMar>
          </w:tcPr>
          <w:p>
            <w:pPr>
              <w:spacing w:after="0" w:before="0"/>
            </w:pPr>
            <w:r>
              <w:rPr>
                <w:b w:val="0"/>
                <w:color w:val="33414F"/>
                <w:sz w:val="19"/>
              </w:rPr>
              <w:t xml:space="preserve">20</w:t>
            </w:r>
          </w:p>
        </w:tc>
      </w:tr>
      <w:tr>
        <w:tc>
          <w:tcPr>
            <w:tcW w:w="1200" w:type="dxa"/>
            <w:tcMar>
              <w:top w:w="45" w:type="dxa"/>
              <w:left w:w="85" w:type="dxa"/>
              <w:bottom w:w="45" w:type="dxa"/>
              <w:right w:w="85" w:type="dxa"/>
            </w:tcMar>
          </w:tcPr>
          <w:p>
            <w:pPr>
              <w:spacing w:after="0" w:before="0"/>
            </w:pPr>
            <w:r>
              <w:rPr>
                <w:b w:val="0"/>
                <w:color w:val="33414F"/>
                <w:sz w:val="19"/>
              </w:rPr>
              <w:t xml:space="preserve">16</w:t>
            </w:r>
          </w:p>
        </w:tc>
        <w:tc>
          <w:tcPr>
            <w:tcW w:w="6600" w:type="dxa"/>
            <w:tcMar>
              <w:top w:w="45" w:type="dxa"/>
              <w:left w:w="85" w:type="dxa"/>
              <w:bottom w:w="45" w:type="dxa"/>
              <w:right w:w="85" w:type="dxa"/>
            </w:tcMar>
          </w:tcPr>
          <w:p>
            <w:pPr>
              <w:spacing w:after="0" w:before="0"/>
            </w:pPr>
            <w:r>
              <w:rPr>
                <w:b w:val="0"/>
                <w:color w:val="33414F"/>
                <w:sz w:val="19"/>
              </w:rPr>
              <w:t xml:space="preserve">Risk &amp; Mitigation</w:t>
            </w:r>
          </w:p>
        </w:tc>
        <w:tc>
          <w:tcPr>
            <w:tcW w:w="1100" w:type="dxa"/>
            <w:tcMar>
              <w:top w:w="45" w:type="dxa"/>
              <w:left w:w="85" w:type="dxa"/>
              <w:bottom w:w="45" w:type="dxa"/>
              <w:right w:w="85" w:type="dxa"/>
            </w:tcMar>
          </w:tcPr>
          <w:p>
            <w:pPr>
              <w:spacing w:after="0" w:before="0"/>
            </w:pPr>
            <w:r>
              <w:rPr>
                <w:b w:val="0"/>
                <w:color w:val="33414F"/>
                <w:sz w:val="19"/>
              </w:rPr>
              <w:t xml:space="preserve">21</w:t>
            </w:r>
          </w:p>
        </w:tc>
      </w:tr>
      <w:tr>
        <w:tc>
          <w:tcPr>
            <w:tcW w:w="1200" w:type="dxa"/>
            <w:tcMar>
              <w:top w:w="45" w:type="dxa"/>
              <w:left w:w="85" w:type="dxa"/>
              <w:bottom w:w="45" w:type="dxa"/>
              <w:right w:w="85" w:type="dxa"/>
            </w:tcMar>
          </w:tcPr>
          <w:p>
            <w:pPr>
              <w:spacing w:after="0" w:before="0"/>
            </w:pPr>
            <w:r>
              <w:rPr>
                <w:b w:val="0"/>
                <w:color w:val="33414F"/>
                <w:sz w:val="19"/>
              </w:rPr>
              <w:t xml:space="preserve">17</w:t>
            </w:r>
          </w:p>
        </w:tc>
        <w:tc>
          <w:tcPr>
            <w:tcW w:w="6600" w:type="dxa"/>
            <w:tcMar>
              <w:top w:w="45" w:type="dxa"/>
              <w:left w:w="85" w:type="dxa"/>
              <w:bottom w:w="45" w:type="dxa"/>
              <w:right w:w="85" w:type="dxa"/>
            </w:tcMar>
          </w:tcPr>
          <w:p>
            <w:pPr>
              <w:spacing w:after="0" w:before="0"/>
            </w:pPr>
            <w:r>
              <w:rPr>
                <w:b w:val="0"/>
                <w:color w:val="33414F"/>
                <w:sz w:val="19"/>
              </w:rPr>
              <w:t xml:space="preserve">Governance, Reporting &amp; Decision Path</w:t>
            </w:r>
          </w:p>
        </w:tc>
        <w:tc>
          <w:tcPr>
            <w:tcW w:w="1100" w:type="dxa"/>
            <w:tcMar>
              <w:top w:w="45" w:type="dxa"/>
              <w:left w:w="85" w:type="dxa"/>
              <w:bottom w:w="45" w:type="dxa"/>
              <w:right w:w="85" w:type="dxa"/>
            </w:tcMar>
          </w:tcPr>
          <w:p>
            <w:pPr>
              <w:spacing w:after="0" w:before="0"/>
            </w:pPr>
            <w:r>
              <w:rPr>
                <w:b w:val="0"/>
                <w:color w:val="33414F"/>
                <w:sz w:val="19"/>
              </w:rPr>
              <w:t xml:space="preserve">22</w:t>
            </w:r>
          </w:p>
        </w:tc>
      </w:tr>
      <w:tr>
        <w:tc>
          <w:tcPr>
            <w:tcW w:w="1200" w:type="dxa"/>
            <w:tcMar>
              <w:top w:w="45" w:type="dxa"/>
              <w:left w:w="85" w:type="dxa"/>
              <w:bottom w:w="45" w:type="dxa"/>
              <w:right w:w="85" w:type="dxa"/>
            </w:tcMar>
          </w:tcPr>
          <w:p>
            <w:pPr>
              <w:spacing w:after="0" w:before="0"/>
            </w:pPr>
            <w:r>
              <w:rPr>
                <w:b w:val="0"/>
                <w:color w:val="33414F"/>
                <w:sz w:val="19"/>
              </w:rPr>
              <w:t xml:space="preserve">18</w:t>
            </w:r>
          </w:p>
        </w:tc>
        <w:tc>
          <w:tcPr>
            <w:tcW w:w="6600" w:type="dxa"/>
            <w:tcMar>
              <w:top w:w="45" w:type="dxa"/>
              <w:left w:w="85" w:type="dxa"/>
              <w:bottom w:w="45" w:type="dxa"/>
              <w:right w:w="85" w:type="dxa"/>
            </w:tcMar>
          </w:tcPr>
          <w:p>
            <w:pPr>
              <w:spacing w:after="0" w:before="0"/>
            </w:pPr>
            <w:r>
              <w:rPr>
                <w:b w:val="0"/>
                <w:color w:val="33414F"/>
                <w:sz w:val="19"/>
              </w:rPr>
              <w:t xml:space="preserve">Acceptance Criteria &amp; Success Metrics</w:t>
            </w:r>
          </w:p>
        </w:tc>
        <w:tc>
          <w:tcPr>
            <w:tcW w:w="1100" w:type="dxa"/>
            <w:tcMar>
              <w:top w:w="45" w:type="dxa"/>
              <w:left w:w="85" w:type="dxa"/>
              <w:bottom w:w="45" w:type="dxa"/>
              <w:right w:w="85" w:type="dxa"/>
            </w:tcMar>
          </w:tcPr>
          <w:p>
            <w:pPr>
              <w:spacing w:after="0" w:before="0"/>
            </w:pPr>
            <w:r>
              <w:rPr>
                <w:b w:val="0"/>
                <w:color w:val="33414F"/>
                <w:sz w:val="19"/>
              </w:rPr>
              <w:t xml:space="preserve">22</w:t>
            </w:r>
          </w:p>
        </w:tc>
      </w:tr>
      <w:tr>
        <w:tc>
          <w:tcPr>
            <w:tcW w:w="1200" w:type="dxa"/>
            <w:tcMar>
              <w:top w:w="45" w:type="dxa"/>
              <w:left w:w="85" w:type="dxa"/>
              <w:bottom w:w="45" w:type="dxa"/>
              <w:right w:w="85" w:type="dxa"/>
            </w:tcMar>
          </w:tcPr>
          <w:p>
            <w:pPr>
              <w:spacing w:after="0" w:before="0"/>
            </w:pPr>
            <w:r>
              <w:rPr>
                <w:b w:val="0"/>
                <w:color w:val="33414F"/>
                <w:sz w:val="19"/>
              </w:rPr>
              <w:t xml:space="preserve">19</w:t>
            </w:r>
          </w:p>
        </w:tc>
        <w:tc>
          <w:tcPr>
            <w:tcW w:w="6600" w:type="dxa"/>
            <w:tcMar>
              <w:top w:w="45" w:type="dxa"/>
              <w:left w:w="85" w:type="dxa"/>
              <w:bottom w:w="45" w:type="dxa"/>
              <w:right w:w="85" w:type="dxa"/>
            </w:tcMar>
          </w:tcPr>
          <w:p>
            <w:pPr>
              <w:spacing w:after="0" w:before="0"/>
            </w:pPr>
            <w:r>
              <w:rPr>
                <w:b w:val="0"/>
                <w:color w:val="33414F"/>
                <w:sz w:val="19"/>
              </w:rPr>
              <w:t xml:space="preserve">Linked Resources &amp; References</w:t>
            </w:r>
          </w:p>
        </w:tc>
        <w:tc>
          <w:tcPr>
            <w:tcW w:w="1100" w:type="dxa"/>
            <w:tcMar>
              <w:top w:w="45" w:type="dxa"/>
              <w:left w:w="85" w:type="dxa"/>
              <w:bottom w:w="45" w:type="dxa"/>
              <w:right w:w="85" w:type="dxa"/>
            </w:tcMar>
          </w:tcPr>
          <w:p>
            <w:pPr>
              <w:spacing w:after="0" w:before="0"/>
            </w:pPr>
            <w:r>
              <w:rPr>
                <w:b w:val="0"/>
                <w:color w:val="33414F"/>
                <w:sz w:val="19"/>
              </w:rPr>
              <w:t xml:space="preserve">23</w:t>
            </w:r>
          </w:p>
        </w:tc>
      </w:tr>
      <w:tr>
        <w:tc>
          <w:tcPr>
            <w:tcW w:w="1200" w:type="dxa"/>
            <w:tcMar>
              <w:top w:w="45" w:type="dxa"/>
              <w:left w:w="85" w:type="dxa"/>
              <w:bottom w:w="45" w:type="dxa"/>
              <w:right w:w="85" w:type="dxa"/>
            </w:tcMar>
          </w:tcPr>
          <w:p>
            <w:pPr>
              <w:spacing w:after="0" w:before="0"/>
            </w:pPr>
            <w:r>
              <w:rPr>
                <w:b w:val="0"/>
                <w:color w:val="33414F"/>
                <w:sz w:val="19"/>
              </w:rPr>
              <w:t xml:space="preserve">A</w:t>
            </w:r>
          </w:p>
        </w:tc>
        <w:tc>
          <w:tcPr>
            <w:tcW w:w="6600" w:type="dxa"/>
            <w:tcMar>
              <w:top w:w="45" w:type="dxa"/>
              <w:left w:w="85" w:type="dxa"/>
              <w:bottom w:w="45" w:type="dxa"/>
              <w:right w:w="85" w:type="dxa"/>
            </w:tcMar>
          </w:tcPr>
          <w:p>
            <w:pPr>
              <w:spacing w:after="0" w:before="0"/>
            </w:pPr>
            <w:r>
              <w:rPr>
                <w:b w:val="0"/>
                <w:color w:val="33414F"/>
                <w:sz w:val="19"/>
              </w:rPr>
              <w:t xml:space="preserve">Appendix A — Document Control &amp; Provenance</w:t>
            </w:r>
          </w:p>
        </w:tc>
        <w:tc>
          <w:tcPr>
            <w:tcW w:w="1100" w:type="dxa"/>
            <w:tcMar>
              <w:top w:w="45" w:type="dxa"/>
              <w:left w:w="85" w:type="dxa"/>
              <w:bottom w:w="45" w:type="dxa"/>
              <w:right w:w="85" w:type="dxa"/>
            </w:tcMar>
          </w:tcPr>
          <w:p>
            <w:pPr>
              <w:spacing w:after="0" w:before="0"/>
            </w:pPr>
            <w:r>
              <w:rPr>
                <w:b w:val="0"/>
                <w:color w:val="33414F"/>
                <w:sz w:val="19"/>
              </w:rPr>
              <w:t xml:space="preserve">23</w:t>
            </w:r>
          </w:p>
        </w:tc>
      </w:tr>
      <w:tr>
        <w:tc>
          <w:tcPr>
            <w:tcW w:w="1200" w:type="dxa"/>
            <w:tcMar>
              <w:top w:w="45" w:type="dxa"/>
              <w:left w:w="85" w:type="dxa"/>
              <w:bottom w:w="45" w:type="dxa"/>
              <w:right w:w="85" w:type="dxa"/>
            </w:tcMar>
          </w:tcPr>
          <w:p>
            <w:pPr>
              <w:spacing w:after="0" w:before="0"/>
            </w:pPr>
            <w:r>
              <w:rPr>
                <w:b w:val="0"/>
                <w:color w:val="33414F"/>
                <w:sz w:val="19"/>
              </w:rPr>
              <w:t xml:space="preserve">B</w:t>
            </w:r>
          </w:p>
        </w:tc>
        <w:tc>
          <w:tcPr>
            <w:tcW w:w="6600" w:type="dxa"/>
            <w:tcMar>
              <w:top w:w="45" w:type="dxa"/>
              <w:left w:w="85" w:type="dxa"/>
              <w:bottom w:w="45" w:type="dxa"/>
              <w:right w:w="85" w:type="dxa"/>
            </w:tcMar>
          </w:tcPr>
          <w:p>
            <w:pPr>
              <w:spacing w:after="0" w:before="0"/>
            </w:pPr>
            <w:r>
              <w:rPr>
                <w:b w:val="0"/>
                <w:color w:val="33414F"/>
                <w:sz w:val="19"/>
              </w:rPr>
              <w:t xml:space="preserve">Appendix B — Meeting Record Index</w:t>
            </w:r>
          </w:p>
        </w:tc>
        <w:tc>
          <w:tcPr>
            <w:tcW w:w="1100" w:type="dxa"/>
            <w:tcMar>
              <w:top w:w="45" w:type="dxa"/>
              <w:left w:w="85" w:type="dxa"/>
              <w:bottom w:w="45" w:type="dxa"/>
              <w:right w:w="85" w:type="dxa"/>
            </w:tcMar>
          </w:tcPr>
          <w:p>
            <w:pPr>
              <w:spacing w:after="0" w:before="0"/>
            </w:pPr>
            <w:r>
              <w:rPr>
                <w:b w:val="0"/>
                <w:color w:val="33414F"/>
                <w:sz w:val="19"/>
              </w:rPr>
              <w:t xml:space="preserve">24</w:t>
            </w:r>
          </w:p>
        </w:tc>
      </w:tr>
    </w:tbl>
    <w:p w:rsidR="00000000" w:rsidDel="00000000" w:rsidP="00000000" w:rsidRDefault="00000000" w:rsidRPr="00000000" w14:paraId="00000069">
      <w:pPr>
        <w:spacing w:after="120" w:before="120" w:lineRule="auto"/>
        <w:rPr/>
      </w:pPr>
      <w:r w:rsidDel="00000000" w:rsidR="00000000" w:rsidRPr="00000000">
        <w:rPr>
          <w:rtl w:val="0"/>
        </w:rPr>
      </w:r>
    </w:p>
    <w:p w:rsidR="00000000" w:rsidDel="00000000" w:rsidP="00000000" w:rsidRDefault="00000000" w:rsidRPr="00000000" w14:paraId="0000006A">
      <w:pPr>
        <w:spacing w:after="80" w:before="80" w:lineRule="auto"/>
        <w:jc w:val="both"/>
        <w:rPr/>
      </w:pPr>
      <w:r w:rsidDel="00000000" w:rsidR="00000000" w:rsidRPr="00000000">
        <w:rPr>
          <w:rFonts w:ascii="Arial" w:cs="Arial" w:eastAsia="Arial" w:hAnsi="Arial"/>
          <w:b w:val="0"/>
          <w:bCs w:val="0"/>
          <w:i w:val="1"/>
          <w:iCs w:val="1"/>
          <w:color w:val="666666"/>
          <w:sz w:val="20"/>
          <w:szCs w:val="20"/>
          <w:rtl w:val="0"/>
        </w:rPr>
        <w:t xml:space="preserve">Note: Page numbers are indicative. Actual pagination depends on rendering and may shift slightly between Word versions. Use Word's Navigation Pane (View &gt; Navigation Pane) for live navigation.</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
        <w:br w:type="page"/>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 Executive Summary</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This Implementation Roadmap (IR) is the single combined execution document for SHOUT-IT-NOW following completion of Phase 1 — IT Systems Audit, Assessment and Advisory Services (engagement Q021-SN01-AD1-26D · QTE-2026-002). It merges the Statement of Work deliverables — the prioritised remedial action plan (SOW 4.1.3) and the forward look to Phases 2 and 3 — into one decision pack for the 23 July Parktown handover, distilled from a month of team fieldwork and a 160-file audit repository (TOPEND index DOC-2026-07-021).</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audited baseline, from SHOUT-IT-NOW’s own workbook (System_Assessment_Updated_Apr2026), is R1 244 000 per year across the 21-system estate — with roughly half addressable. The IA·MCP forensic baseline scored the estate 33.7 and 49.1 (Grade F — "Initial") against CIS v8, ISO 27001, SOC 2, NIST 800-53 and POPIA, and the AWS commitment expiry (~September) moves the database line from ±R9 000 to R60 000–70 000 per month if nothing is done. That is the burning platform.</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Phase 1’s mandate was explicit: list the options, price them honestly, and leave the direction with the client (§2.4). Section 5 therefore presents five engineered pathways for the AWS workloads — with Pathway A (Ionity Private Intranet micro-computing cluster) recommended and Pathway E (Sovereign Hybrid) as the natural Phase-2 end-state in which DOME-Network becomes the backbone of the estate once the SOP loop is embedded. The SOP (Section 12), the IA·MCP weekly evidence engine (Section 13) and the client’s own AI Governance Pack (Section 14) align into one governed operating rhythm regardless of the pathway chosen.</w:t>
      </w:r>
    </w:p>
    <w:p>
      <w:pPr>
        <w:spacing w:before="120" w:after="120"/>
        <w:shd w:val="clear" w:color="auto" w:fill="0D2137"/>
        <w:ind w:left="120" w:right="120"/>
      </w:pPr>
      <w:r>
        <w:rPr>
          <w:rtl w:val="0"/>
          <w:b/>
          <w:color w:val="FFFFFF"/>
        </w:rPr>
        <w:t xml:space="preserve">COMMERCIAL NOTE — This document intentionally contains NO forward-looking investment pricing. All investment figures are indicative only and are superseded by the formal Ionity commercial pack (incl. the DOME cost models held in the audit repository), issued separately. Nothing in this IR constitutes a quotation. The cost baseline shown is SHOUT-IT-NOW’s own recorded spend.</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2. Purpose, Scope &amp; SOW Alignment — 10 Pillars + 5 Foundations</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Statement of Work defines the engagement as a comprehensive, advisory evaluation of SHOUT-IT-NOW’s IT systems, processes and infrastructure. The official scope reference (POL 986 AED, v1.0) fixes ten specific pillars over five general foundations; every finding and every action in this IR traces to one of them.</w:t>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4600"/>
        <w:gridCol w:w="4200"/>
      </w:tblGrid>
      <w:tr>
        <w:tc>
          <w:tcPr>
            <w:tcW w:w="4600" w:type="dxa"/>
            <w:shd w:val="clear" w:color="auto" w:fill="0D2137"/>
            <w:tcMar>
              <w:top w:w="45" w:type="dxa"/>
              <w:left w:w="85" w:type="dxa"/>
              <w:bottom w:w="45" w:type="dxa"/>
              <w:right w:w="85" w:type="dxa"/>
            </w:tcMar>
          </w:tcPr>
          <w:p>
            <w:pPr>
              <w:spacing w:after="0" w:before="0"/>
            </w:pPr>
            <w:r>
              <w:rPr>
                <w:b/>
                <w:color w:val="FFFFFF"/>
                <w:sz w:val="18"/>
              </w:rPr>
              <w:t xml:space="preserve">Specific pillars (10)</w:t>
            </w:r>
          </w:p>
        </w:tc>
        <w:tc>
          <w:tcPr>
            <w:tcW w:w="4200" w:type="dxa"/>
            <w:shd w:val="clear" w:color="auto" w:fill="0D2137"/>
            <w:tcMar>
              <w:top w:w="45" w:type="dxa"/>
              <w:left w:w="85" w:type="dxa"/>
              <w:bottom w:w="45" w:type="dxa"/>
              <w:right w:w="85" w:type="dxa"/>
            </w:tcMar>
          </w:tcPr>
          <w:p>
            <w:pPr>
              <w:spacing w:after="0" w:before="0"/>
            </w:pPr>
            <w:r>
              <w:rPr>
                <w:b/>
                <w:color w:val="FFFFFF"/>
                <w:sz w:val="18"/>
              </w:rPr>
              <w:t xml:space="preserve">General foundations (5)</w:t>
            </w:r>
          </w:p>
        </w:tc>
      </w:tr>
      <w:tr>
        <w:tc>
          <w:tcPr>
            <w:tcW w:w="4600" w:type="dxa"/>
            <w:tcMar>
              <w:top w:w="45" w:type="dxa"/>
              <w:left w:w="85" w:type="dxa"/>
              <w:bottom w:w="45" w:type="dxa"/>
              <w:right w:w="85" w:type="dxa"/>
            </w:tcMar>
          </w:tcPr>
          <w:p>
            <w:pPr>
              <w:spacing w:after="0" w:before="0"/>
            </w:pPr>
            <w:r>
              <w:rPr>
                <w:b w:val="0"/>
                <w:color w:val="33414F"/>
                <w:sz w:val="18"/>
              </w:rPr>
              <w:t xml:space="preserve">1 Integrations &amp; data flows · 2 Vendor &amp; source-code custody</w:t>
            </w:r>
          </w:p>
        </w:tc>
        <w:tc>
          <w:tcPr>
            <w:tcW w:w="4200" w:type="dxa"/>
            <w:tcMar>
              <w:top w:w="45" w:type="dxa"/>
              <w:left w:w="85" w:type="dxa"/>
              <w:bottom w:w="45" w:type="dxa"/>
              <w:right w:w="85" w:type="dxa"/>
            </w:tcMar>
          </w:tcPr>
          <w:p>
            <w:pPr>
              <w:spacing w:after="0" w:before="0"/>
            </w:pPr>
            <w:r>
              <w:rPr>
                <w:b w:val="0"/>
                <w:color w:val="33414F"/>
                <w:sz w:val="18"/>
              </w:rPr>
              <w:t xml:space="preserve">1 Complete asset inventory (hardware + software)</w:t>
            </w:r>
          </w:p>
        </w:tc>
      </w:tr>
      <w:tr>
        <w:tc>
          <w:tcPr>
            <w:tcW w:w="4600" w:type="dxa"/>
            <w:tcMar>
              <w:top w:w="45" w:type="dxa"/>
              <w:left w:w="85" w:type="dxa"/>
              <w:bottom w:w="45" w:type="dxa"/>
              <w:right w:w="85" w:type="dxa"/>
            </w:tcMar>
          </w:tcPr>
          <w:p>
            <w:pPr>
              <w:spacing w:after="0" w:before="0"/>
            </w:pPr>
            <w:r>
              <w:rPr>
                <w:b w:val="0"/>
                <w:color w:val="33414F"/>
                <w:sz w:val="18"/>
              </w:rPr>
              <w:t xml:space="preserve">3 Cloud configuration posture · 4 Logging, monitoring &amp; IR readiness</w:t>
            </w:r>
          </w:p>
        </w:tc>
        <w:tc>
          <w:tcPr>
            <w:tcW w:w="4200" w:type="dxa"/>
            <w:tcMar>
              <w:top w:w="45" w:type="dxa"/>
              <w:left w:w="85" w:type="dxa"/>
              <w:bottom w:w="45" w:type="dxa"/>
              <w:right w:w="85" w:type="dxa"/>
            </w:tcMar>
          </w:tcPr>
          <w:p>
            <w:pPr>
              <w:spacing w:after="0" w:before="0"/>
            </w:pPr>
            <w:r>
              <w:rPr>
                <w:b w:val="0"/>
                <w:color w:val="33414F"/>
                <w:sz w:val="18"/>
              </w:rPr>
              <w:t xml:space="preserve">2 Security &amp; access controls</w:t>
            </w:r>
          </w:p>
        </w:tc>
      </w:tr>
      <w:tr>
        <w:tc>
          <w:tcPr>
            <w:tcW w:w="4600" w:type="dxa"/>
            <w:tcMar>
              <w:top w:w="45" w:type="dxa"/>
              <w:left w:w="85" w:type="dxa"/>
              <w:bottom w:w="45" w:type="dxa"/>
              <w:right w:w="85" w:type="dxa"/>
            </w:tcMar>
          </w:tcPr>
          <w:p>
            <w:pPr>
              <w:spacing w:after="0" w:before="0"/>
            </w:pPr>
            <w:r>
              <w:rPr>
                <w:b w:val="0"/>
                <w:color w:val="33414F"/>
                <w:sz w:val="18"/>
              </w:rPr>
              <w:t xml:space="preserve">5 Identity lifecycle · 6 Patch &amp; change management as processes</w:t>
            </w:r>
          </w:p>
        </w:tc>
        <w:tc>
          <w:tcPr>
            <w:tcW w:w="4200" w:type="dxa"/>
            <w:tcMar>
              <w:top w:w="45" w:type="dxa"/>
              <w:left w:w="85" w:type="dxa"/>
              <w:bottom w:w="45" w:type="dxa"/>
              <w:right w:w="85" w:type="dxa"/>
            </w:tcMar>
          </w:tcPr>
          <w:p>
            <w:pPr>
              <w:spacing w:after="0" w:before="0"/>
            </w:pPr>
            <w:r>
              <w:rPr>
                <w:b w:val="0"/>
                <w:color w:val="33414F"/>
                <w:sz w:val="18"/>
              </w:rPr>
              <w:t xml:space="preserve">3 Backup &amp; disaster recovery</w:t>
            </w:r>
          </w:p>
        </w:tc>
      </w:tr>
      <w:tr>
        <w:tc>
          <w:tcPr>
            <w:tcW w:w="4600" w:type="dxa"/>
            <w:tcMar>
              <w:top w:w="45" w:type="dxa"/>
              <w:left w:w="85" w:type="dxa"/>
              <w:bottom w:w="45" w:type="dxa"/>
              <w:right w:w="85" w:type="dxa"/>
            </w:tcMar>
          </w:tcPr>
          <w:p>
            <w:pPr>
              <w:spacing w:after="0" w:before="0"/>
            </w:pPr>
            <w:r>
              <w:rPr>
                <w:b w:val="0"/>
                <w:color w:val="33414F"/>
                <w:sz w:val="18"/>
              </w:rPr>
              <w:t xml:space="preserve">7 Data classification, retention &amp; destruction (POPIA §§26–35)</w:t>
            </w:r>
          </w:p>
        </w:tc>
        <w:tc>
          <w:tcPr>
            <w:tcW w:w="4200" w:type="dxa"/>
            <w:tcMar>
              <w:top w:w="45" w:type="dxa"/>
              <w:left w:w="85" w:type="dxa"/>
              <w:bottom w:w="45" w:type="dxa"/>
              <w:right w:w="85" w:type="dxa"/>
            </w:tcMar>
          </w:tcPr>
          <w:p>
            <w:pPr>
              <w:spacing w:after="0" w:before="0"/>
            </w:pPr>
            <w:r>
              <w:rPr>
                <w:b w:val="0"/>
                <w:color w:val="33414F"/>
                <w:sz w:val="18"/>
              </w:rPr>
              <w:t xml:space="preserve">4 Network performance &amp; capacity</w:t>
            </w:r>
          </w:p>
        </w:tc>
      </w:tr>
      <w:tr>
        <w:tc>
          <w:tcPr>
            <w:tcW w:w="4600" w:type="dxa"/>
            <w:tcMar>
              <w:top w:w="45" w:type="dxa"/>
              <w:left w:w="85" w:type="dxa"/>
              <w:bottom w:w="45" w:type="dxa"/>
              <w:right w:w="85" w:type="dxa"/>
            </w:tcMar>
          </w:tcPr>
          <w:p>
            <w:pPr>
              <w:spacing w:after="0" w:before="0"/>
            </w:pPr>
            <w:r>
              <w:rPr>
                <w:b w:val="0"/>
                <w:color w:val="33414F"/>
                <w:sz w:val="18"/>
              </w:rPr>
              <w:t xml:space="preserve">8 AI &amp; model governance · 9 Architectural single points of failure</w:t>
            </w:r>
          </w:p>
        </w:tc>
        <w:tc>
          <w:tcPr>
            <w:tcW w:w="4200" w:type="dxa"/>
            <w:tcMar>
              <w:top w:w="45" w:type="dxa"/>
              <w:left w:w="85" w:type="dxa"/>
              <w:bottom w:w="45" w:type="dxa"/>
              <w:right w:w="85" w:type="dxa"/>
            </w:tcMar>
          </w:tcPr>
          <w:p>
            <w:pPr>
              <w:spacing w:after="0" w:before="0"/>
            </w:pPr>
            <w:r>
              <w:rPr>
                <w:b w:val="0"/>
                <w:color w:val="33414F"/>
                <w:sz w:val="18"/>
              </w:rPr>
              <w:t xml:space="preserve">5 Compliance &amp; policy enforcement</w:t>
            </w:r>
          </w:p>
        </w:tc>
      </w:tr>
      <w:tr>
        <w:tc>
          <w:tcPr>
            <w:tcW w:w="4600" w:type="dxa"/>
            <w:tcMar>
              <w:top w:w="45" w:type="dxa"/>
              <w:left w:w="85" w:type="dxa"/>
              <w:bottom w:w="45" w:type="dxa"/>
              <w:right w:w="85" w:type="dxa"/>
            </w:tcMar>
          </w:tcPr>
          <w:p>
            <w:pPr>
              <w:spacing w:after="0" w:before="0"/>
            </w:pPr>
            <w:r>
              <w:rPr>
                <w:b w:val="0"/>
                <w:color w:val="33414F"/>
                <w:sz w:val="18"/>
              </w:rPr>
              <w:t xml:space="preserve">10 Cost &amp; licence rationalisation</w:t>
            </w:r>
          </w:p>
        </w:tc>
        <w:tc>
          <w:tcPr>
            <w:tcW w:w="4200" w:type="dxa"/>
            <w:tcMar>
              <w:top w:w="45" w:type="dxa"/>
              <w:left w:w="85" w:type="dxa"/>
              <w:bottom w:w="45" w:type="dxa"/>
              <w:right w:w="85" w:type="dxa"/>
            </w:tcMar>
          </w:tcPr>
          <w:p>
            <w:pPr>
              <w:spacing w:after="0" w:before="0"/>
            </w:pPr>
            <w:r>
              <w:rPr>
                <w:b w:val="0"/>
                <w:color w:val="33414F"/>
                <w:sz w:val="18"/>
              </w:rPr>
              <w:t xml:space="preserve">(POPIA / GDPR / HIPAA / PCI-DSS lenses)</w:t>
            </w:r>
          </w:p>
        </w:tc>
      </w:tr>
    </w:tbl>
    <w:p>
      <w:pPr>
        <w:spacing w:after="80"/>
      </w:pP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800"/>
        <w:gridCol w:w="3700"/>
        <w:gridCol w:w="2400"/>
      </w:tblGrid>
      <w:tr>
        <w:tc>
          <w:tcPr>
            <w:tcW w:w="2800" w:type="dxa"/>
            <w:shd w:val="clear" w:color="auto" w:fill="0D2137"/>
            <w:tcMar>
              <w:top w:w="45" w:type="dxa"/>
              <w:left w:w="85" w:type="dxa"/>
              <w:bottom w:w="45" w:type="dxa"/>
              <w:right w:w="85" w:type="dxa"/>
            </w:tcMar>
          </w:tcPr>
          <w:p>
            <w:pPr>
              <w:spacing w:after="0" w:before="0"/>
            </w:pPr>
            <w:r>
              <w:rPr>
                <w:b/>
                <w:color w:val="FFFFFF"/>
                <w:sz w:val="18"/>
              </w:rPr>
              <w:t xml:space="preserve">SOW deliverable</w:t>
            </w:r>
          </w:p>
        </w:tc>
        <w:tc>
          <w:tcPr>
            <w:tcW w:w="3700" w:type="dxa"/>
            <w:shd w:val="clear" w:color="auto" w:fill="0D2137"/>
            <w:tcMar>
              <w:top w:w="45" w:type="dxa"/>
              <w:left w:w="85" w:type="dxa"/>
              <w:bottom w:w="45" w:type="dxa"/>
              <w:right w:w="85" w:type="dxa"/>
            </w:tcMar>
          </w:tcPr>
          <w:p>
            <w:pPr>
              <w:spacing w:after="0" w:before="0"/>
            </w:pPr>
            <w:r>
              <w:rPr>
                <w:b/>
                <w:color w:val="FFFFFF"/>
                <w:sz w:val="18"/>
              </w:rPr>
              <w:t xml:space="preserve">Delivered as</w:t>
            </w:r>
          </w:p>
        </w:tc>
        <w:tc>
          <w:tcPr>
            <w:tcW w:w="2400" w:type="dxa"/>
            <w:shd w:val="clear" w:color="auto" w:fill="0D2137"/>
            <w:tcMar>
              <w:top w:w="45" w:type="dxa"/>
              <w:left w:w="85" w:type="dxa"/>
              <w:bottom w:w="45" w:type="dxa"/>
              <w:right w:w="85" w:type="dxa"/>
            </w:tcMar>
          </w:tcPr>
          <w:p>
            <w:pPr>
              <w:spacing w:after="0" w:before="0"/>
            </w:pPr>
            <w:r>
              <w:rPr>
                <w:b/>
                <w:color w:val="FFFFFF"/>
                <w:sz w:val="18"/>
              </w:rPr>
              <w:t xml:space="preserve">Status</w:t>
            </w:r>
          </w:p>
        </w:tc>
      </w:tr>
      <w:tr>
        <w:tc>
          <w:tcPr>
            <w:tcW w:w="2800" w:type="dxa"/>
            <w:tcMar>
              <w:top w:w="45" w:type="dxa"/>
              <w:left w:w="85" w:type="dxa"/>
              <w:bottom w:w="45" w:type="dxa"/>
              <w:right w:w="85" w:type="dxa"/>
            </w:tcMar>
          </w:tcPr>
          <w:p>
            <w:pPr>
              <w:spacing w:after="0" w:before="0"/>
            </w:pPr>
            <w:r>
              <w:rPr>
                <w:b w:val="0"/>
                <w:color w:val="33414F"/>
                <w:sz w:val="18"/>
              </w:rPr>
              <w:t xml:space="preserve">4.1.1 Internal systems assessment</w:t>
            </w:r>
          </w:p>
        </w:tc>
        <w:tc>
          <w:tcPr>
            <w:tcW w:w="3700" w:type="dxa"/>
            <w:tcMar>
              <w:top w:w="45" w:type="dxa"/>
              <w:left w:w="85" w:type="dxa"/>
              <w:bottom w:w="45" w:type="dxa"/>
              <w:right w:w="85" w:type="dxa"/>
            </w:tcMar>
          </w:tcPr>
          <w:p>
            <w:pPr>
              <w:spacing w:after="0" w:before="0"/>
            </w:pPr>
            <w:r>
              <w:rPr>
                <w:b w:val="0"/>
                <w:color w:val="33414F"/>
                <w:sz w:val="18"/>
              </w:rPr>
              <w:t xml:space="preserve">Finance &amp; HR audit (A1C, 20 Jul); internal deep-dives; System Assessment workbook</w:t>
            </w:r>
          </w:p>
        </w:tc>
        <w:tc>
          <w:tcPr>
            <w:tcW w:w="2400" w:type="dxa"/>
            <w:tcMar>
              <w:top w:w="45" w:type="dxa"/>
              <w:left w:w="85" w:type="dxa"/>
              <w:bottom w:w="45" w:type="dxa"/>
              <w:right w:w="85" w:type="dxa"/>
            </w:tcMar>
          </w:tcPr>
          <w:p>
            <w:pPr>
              <w:spacing w:after="0" w:before="0"/>
            </w:pPr>
            <w:r>
              <w:rPr>
                <w:b w:val="0"/>
                <w:color w:val="33414F"/>
                <w:sz w:val="18"/>
              </w:rPr>
              <w:t xml:space="preserve">Delivered</w:t>
            </w:r>
          </w:p>
        </w:tc>
      </w:tr>
      <w:tr>
        <w:tc>
          <w:tcPr>
            <w:tcW w:w="2800" w:type="dxa"/>
            <w:tcMar>
              <w:top w:w="45" w:type="dxa"/>
              <w:left w:w="85" w:type="dxa"/>
              <w:bottom w:w="45" w:type="dxa"/>
              <w:right w:w="85" w:type="dxa"/>
            </w:tcMar>
          </w:tcPr>
          <w:p>
            <w:pPr>
              <w:spacing w:after="0" w:before="0"/>
            </w:pPr>
            <w:r>
              <w:rPr>
                <w:b w:val="0"/>
                <w:color w:val="33414F"/>
                <w:sz w:val="18"/>
              </w:rPr>
              <w:t xml:space="preserve">4.1.2 Client-facing assessment</w:t>
            </w:r>
          </w:p>
        </w:tc>
        <w:tc>
          <w:tcPr>
            <w:tcW w:w="3700" w:type="dxa"/>
            <w:tcMar>
              <w:top w:w="45" w:type="dxa"/>
              <w:left w:w="85" w:type="dxa"/>
              <w:bottom w:w="45" w:type="dxa"/>
              <w:right w:w="85" w:type="dxa"/>
            </w:tcMar>
          </w:tcPr>
          <w:p>
            <w:pPr>
              <w:spacing w:after="0" w:before="0"/>
            </w:pPr>
            <w:r>
              <w:rPr>
                <w:b w:val="0"/>
                <w:color w:val="33414F"/>
                <w:sz w:val="18"/>
              </w:rPr>
              <w:t xml:space="preserve">Website audit SIN-WEB-2026-R01 v1.4; SMART 2, SNowI 2, Chomi, iShout, MojaMind profiles (14 system profiles)</w:t>
            </w:r>
          </w:p>
        </w:tc>
        <w:tc>
          <w:tcPr>
            <w:tcW w:w="2400" w:type="dxa"/>
            <w:tcMar>
              <w:top w:w="45" w:type="dxa"/>
              <w:left w:w="85" w:type="dxa"/>
              <w:bottom w:w="45" w:type="dxa"/>
              <w:right w:w="85" w:type="dxa"/>
            </w:tcMar>
          </w:tcPr>
          <w:p>
            <w:pPr>
              <w:spacing w:after="0" w:before="0"/>
            </w:pPr>
            <w:r>
              <w:rPr>
                <w:b w:val="0"/>
                <w:color w:val="33414F"/>
                <w:sz w:val="18"/>
              </w:rPr>
              <w:t xml:space="preserve">Delivered</w:t>
            </w:r>
          </w:p>
        </w:tc>
      </w:tr>
      <w:tr>
        <w:tc>
          <w:tcPr>
            <w:tcW w:w="2800" w:type="dxa"/>
            <w:tcMar>
              <w:top w:w="45" w:type="dxa"/>
              <w:left w:w="85" w:type="dxa"/>
              <w:bottom w:w="45" w:type="dxa"/>
              <w:right w:w="85" w:type="dxa"/>
            </w:tcMar>
          </w:tcPr>
          <w:p>
            <w:pPr>
              <w:spacing w:after="0" w:before="0"/>
            </w:pPr>
            <w:r>
              <w:rPr>
                <w:b w:val="0"/>
                <w:color w:val="33414F"/>
                <w:sz w:val="18"/>
              </w:rPr>
              <w:t xml:space="preserve">4.1.3 Prioritised remedial action plan</w:t>
            </w:r>
          </w:p>
        </w:tc>
        <w:tc>
          <w:tcPr>
            <w:tcW w:w="3700" w:type="dxa"/>
            <w:tcMar>
              <w:top w:w="45" w:type="dxa"/>
              <w:left w:w="85" w:type="dxa"/>
              <w:bottom w:w="45" w:type="dxa"/>
              <w:right w:w="85" w:type="dxa"/>
            </w:tcMar>
          </w:tcPr>
          <w:p>
            <w:pPr>
              <w:spacing w:after="0" w:before="0"/>
            </w:pPr>
            <w:r>
              <w:rPr>
                <w:b w:val="0"/>
                <w:color w:val="33414F"/>
                <w:sz w:val="18"/>
              </w:rPr>
              <w:t xml:space="preserve">THIS DOCUMENT — ION-IR-2026-001</w:t>
            </w:r>
          </w:p>
        </w:tc>
        <w:tc>
          <w:tcPr>
            <w:tcW w:w="2400" w:type="dxa"/>
            <w:tcMar>
              <w:top w:w="45" w:type="dxa"/>
              <w:left w:w="85" w:type="dxa"/>
              <w:bottom w:w="45" w:type="dxa"/>
              <w:right w:w="85" w:type="dxa"/>
            </w:tcMar>
          </w:tcPr>
          <w:p>
            <w:pPr>
              <w:spacing w:after="0" w:before="0"/>
            </w:pPr>
            <w:r>
              <w:rPr>
                <w:b w:val="0"/>
                <w:color w:val="33414F"/>
                <w:sz w:val="18"/>
              </w:rPr>
              <w:t xml:space="preserve">This document</w:t>
            </w:r>
          </w:p>
        </w:tc>
      </w:tr>
      <w:tr>
        <w:tc>
          <w:tcPr>
            <w:tcW w:w="2800" w:type="dxa"/>
            <w:tcMar>
              <w:top w:w="45" w:type="dxa"/>
              <w:left w:w="85" w:type="dxa"/>
              <w:bottom w:w="45" w:type="dxa"/>
              <w:right w:w="85" w:type="dxa"/>
            </w:tcMar>
          </w:tcPr>
          <w:p>
            <w:pPr>
              <w:spacing w:after="0" w:before="0"/>
            </w:pPr>
            <w:r>
              <w:rPr>
                <w:b w:val="0"/>
                <w:color w:val="33414F"/>
                <w:sz w:val="18"/>
              </w:rPr>
              <w:t xml:space="preserve">Cross-stack risk register</w:t>
            </w:r>
          </w:p>
        </w:tc>
        <w:tc>
          <w:tcPr>
            <w:tcW w:w="3700" w:type="dxa"/>
            <w:tcMar>
              <w:top w:w="45" w:type="dxa"/>
              <w:left w:w="85" w:type="dxa"/>
              <w:bottom w:w="45" w:type="dxa"/>
              <w:right w:w="85" w:type="dxa"/>
            </w:tcMar>
          </w:tcPr>
          <w:p>
            <w:pPr>
              <w:spacing w:after="0" w:before="0"/>
            </w:pPr>
            <w:r>
              <w:rPr>
                <w:b w:val="0"/>
                <w:color w:val="33414F"/>
                <w:sz w:val="18"/>
              </w:rPr>
              <w:t xml:space="preserve">TOPEND findings register (27 items) consolidated to F-01…F-09 (SPINE v0.2)</w:t>
            </w:r>
          </w:p>
        </w:tc>
        <w:tc>
          <w:tcPr>
            <w:tcW w:w="2400" w:type="dxa"/>
            <w:tcMar>
              <w:top w:w="45" w:type="dxa"/>
              <w:left w:w="85" w:type="dxa"/>
              <w:bottom w:w="45" w:type="dxa"/>
              <w:right w:w="85" w:type="dxa"/>
            </w:tcMar>
          </w:tcPr>
          <w:p>
            <w:pPr>
              <w:spacing w:after="0" w:before="0"/>
            </w:pPr>
            <w:r>
              <w:rPr>
                <w:b w:val="0"/>
                <w:color w:val="33414F"/>
                <w:sz w:val="18"/>
              </w:rPr>
              <w:t xml:space="preserve">Draft with final report</w:t>
            </w:r>
          </w:p>
        </w:tc>
      </w:tr>
      <w:tr>
        <w:tc>
          <w:tcPr>
            <w:tcW w:w="2800" w:type="dxa"/>
            <w:tcMar>
              <w:top w:w="45" w:type="dxa"/>
              <w:left w:w="85" w:type="dxa"/>
              <w:bottom w:w="45" w:type="dxa"/>
              <w:right w:w="85" w:type="dxa"/>
            </w:tcMar>
          </w:tcPr>
          <w:p>
            <w:pPr>
              <w:spacing w:after="0" w:before="0"/>
            </w:pPr>
            <w:r>
              <w:rPr>
                <w:b w:val="0"/>
                <w:color w:val="33414F"/>
                <w:sz w:val="18"/>
              </w:rPr>
              <w:t xml:space="preserve">Forward-look — Phases 2 &amp; 3</w:t>
            </w:r>
          </w:p>
        </w:tc>
        <w:tc>
          <w:tcPr>
            <w:tcW w:w="3700" w:type="dxa"/>
            <w:tcMar>
              <w:top w:w="45" w:type="dxa"/>
              <w:left w:w="85" w:type="dxa"/>
              <w:bottom w:w="45" w:type="dxa"/>
              <w:right w:w="85" w:type="dxa"/>
            </w:tcMar>
          </w:tcPr>
          <w:p>
            <w:pPr>
              <w:spacing w:after="0" w:before="0"/>
            </w:pPr>
            <w:r>
              <w:rPr>
                <w:b w:val="0"/>
                <w:color w:val="33414F"/>
                <w:sz w:val="18"/>
              </w:rPr>
              <w:t xml:space="preserve">Sections 4, 5, 6 (pathways &amp; DOME backbone)</w:t>
            </w:r>
          </w:p>
        </w:tc>
        <w:tc>
          <w:tcPr>
            <w:tcW w:w="2400" w:type="dxa"/>
            <w:tcMar>
              <w:top w:w="45" w:type="dxa"/>
              <w:left w:w="85" w:type="dxa"/>
              <w:bottom w:w="45" w:type="dxa"/>
              <w:right w:w="85" w:type="dxa"/>
            </w:tcMar>
          </w:tcPr>
          <w:p>
            <w:pPr>
              <w:spacing w:after="0" w:before="0"/>
            </w:pPr>
            <w:r>
              <w:rPr>
                <w:b w:val="0"/>
                <w:color w:val="33414F"/>
                <w:sz w:val="18"/>
              </w:rPr>
              <w:t xml:space="preserve">This document</w:t>
            </w:r>
          </w:p>
        </w:tc>
      </w:tr>
      <w:tr>
        <w:tc>
          <w:tcPr>
            <w:tcW w:w="2800" w:type="dxa"/>
            <w:tcMar>
              <w:top w:w="45" w:type="dxa"/>
              <w:left w:w="85" w:type="dxa"/>
              <w:bottom w:w="45" w:type="dxa"/>
              <w:right w:w="85" w:type="dxa"/>
            </w:tcMar>
          </w:tcPr>
          <w:p>
            <w:pPr>
              <w:spacing w:after="0" w:before="0"/>
            </w:pPr>
            <w:r>
              <w:rPr>
                <w:b w:val="0"/>
                <w:color w:val="33414F"/>
                <w:sz w:val="18"/>
              </w:rPr>
              <w:t xml:space="preserve">Weekly milestone plan</w:t>
            </w:r>
          </w:p>
        </w:tc>
        <w:tc>
          <w:tcPr>
            <w:tcW w:w="3700" w:type="dxa"/>
            <w:tcMar>
              <w:top w:w="45" w:type="dxa"/>
              <w:left w:w="85" w:type="dxa"/>
              <w:bottom w:w="45" w:type="dxa"/>
              <w:right w:w="85" w:type="dxa"/>
            </w:tcMar>
          </w:tcPr>
          <w:p>
            <w:pPr>
              <w:spacing w:after="0" w:before="0"/>
            </w:pPr>
            <w:r>
              <w:rPr>
                <w:b w:val="0"/>
                <w:color w:val="33414F"/>
                <w:sz w:val="18"/>
              </w:rPr>
              <w:t xml:space="preserve">Five sprints delivered progressively; tracker &amp; sign-off sheet</w:t>
            </w:r>
          </w:p>
        </w:tc>
        <w:tc>
          <w:tcPr>
            <w:tcW w:w="2400" w:type="dxa"/>
            <w:tcMar>
              <w:top w:w="45" w:type="dxa"/>
              <w:left w:w="85" w:type="dxa"/>
              <w:bottom w:w="45" w:type="dxa"/>
              <w:right w:w="85" w:type="dxa"/>
            </w:tcMar>
          </w:tcPr>
          <w:p>
            <w:pPr>
              <w:spacing w:after="0" w:before="0"/>
            </w:pPr>
            <w:r>
              <w:rPr>
                <w:b w:val="0"/>
                <w:color w:val="33414F"/>
                <w:sz w:val="18"/>
              </w:rPr>
              <w:t xml:space="preserve">Complete</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3. Engagement Record — Sprints, Tracker &amp; the 160-File Repository</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Phase 1 ran as five weekly agile sprints from kick-off on 15 June 2026, Monday to Saturday, delivered by the Ionity team (Johan van Antwerp — lead; Ian Raven; Dennis Grobler; Mike Kandolo; Robin du Toit in support) against the project tracker’s fourteen deliverables. The complete evidence trail — reports, 14 system profiles, forensic IA·MCP scans, signed Mutual NDA v1.2, SLA v1.0, SOW, compliance questionnaire, meeting reports ION-MMR-2026-01→21 — is indexed in the TOPEND repository (DOC-2026-07-021, 50 pages, 160 companion files).</w:t>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300"/>
        <w:gridCol w:w="3600"/>
        <w:gridCol w:w="4000"/>
      </w:tblGrid>
      <w:tr>
        <w:tc>
          <w:tcPr>
            <w:tcW w:w="1300" w:type="dxa"/>
            <w:shd w:val="clear" w:color="auto" w:fill="0D2137"/>
            <w:tcMar>
              <w:top w:w="45" w:type="dxa"/>
              <w:left w:w="85" w:type="dxa"/>
              <w:bottom w:w="45" w:type="dxa"/>
              <w:right w:w="85" w:type="dxa"/>
            </w:tcMar>
          </w:tcPr>
          <w:p>
            <w:pPr>
              <w:spacing w:after="0" w:before="0"/>
            </w:pPr>
            <w:r>
              <w:rPr>
                <w:b/>
                <w:color w:val="FFFFFF"/>
                <w:sz w:val="18"/>
              </w:rPr>
              <w:t xml:space="preserve">Sprint</w:t>
            </w:r>
          </w:p>
        </w:tc>
        <w:tc>
          <w:tcPr>
            <w:tcW w:w="3600" w:type="dxa"/>
            <w:shd w:val="clear" w:color="auto" w:fill="0D2137"/>
            <w:tcMar>
              <w:top w:w="45" w:type="dxa"/>
              <w:left w:w="85" w:type="dxa"/>
              <w:bottom w:w="45" w:type="dxa"/>
              <w:right w:w="85" w:type="dxa"/>
            </w:tcMar>
          </w:tcPr>
          <w:p>
            <w:pPr>
              <w:spacing w:after="0" w:before="0"/>
            </w:pPr>
            <w:r>
              <w:rPr>
                <w:b/>
                <w:color w:val="FFFFFF"/>
                <w:sz w:val="18"/>
              </w:rPr>
              <w:t xml:space="preserve">Focus</w:t>
            </w:r>
          </w:p>
        </w:tc>
        <w:tc>
          <w:tcPr>
            <w:tcW w:w="4000" w:type="dxa"/>
            <w:shd w:val="clear" w:color="auto" w:fill="0D2137"/>
            <w:tcMar>
              <w:top w:w="45" w:type="dxa"/>
              <w:left w:w="85" w:type="dxa"/>
              <w:bottom w:w="45" w:type="dxa"/>
              <w:right w:w="85" w:type="dxa"/>
            </w:tcMar>
          </w:tcPr>
          <w:p>
            <w:pPr>
              <w:spacing w:after="0" w:before="0"/>
            </w:pPr>
            <w:r>
              <w:rPr>
                <w:b/>
                <w:color w:val="FFFFFF"/>
                <w:sz w:val="18"/>
              </w:rPr>
              <w:t xml:space="preserve">Key outputs</w:t>
            </w:r>
          </w:p>
        </w:tc>
      </w:tr>
      <w:tr>
        <w:tc>
          <w:tcPr>
            <w:tcW w:w="1300" w:type="dxa"/>
            <w:tcMar>
              <w:top w:w="45" w:type="dxa"/>
              <w:left w:w="85" w:type="dxa"/>
              <w:bottom w:w="45" w:type="dxa"/>
              <w:right w:w="85" w:type="dxa"/>
            </w:tcMar>
          </w:tcPr>
          <w:p>
            <w:pPr>
              <w:spacing w:after="0" w:before="0"/>
            </w:pPr>
            <w:r>
              <w:rPr>
                <w:b w:val="0"/>
                <w:color w:val="33414F"/>
                <w:sz w:val="18"/>
              </w:rPr>
              <w:t xml:space="preserve">Week 1</w:t>
            </w:r>
          </w:p>
        </w:tc>
        <w:tc>
          <w:tcPr>
            <w:tcW w:w="3600" w:type="dxa"/>
            <w:tcMar>
              <w:top w:w="45" w:type="dxa"/>
              <w:left w:w="85" w:type="dxa"/>
              <w:bottom w:w="45" w:type="dxa"/>
              <w:right w:w="85" w:type="dxa"/>
            </w:tcMar>
          </w:tcPr>
          <w:p>
            <w:pPr>
              <w:spacing w:after="0" w:before="0"/>
            </w:pPr>
            <w:r>
              <w:rPr>
                <w:b w:val="0"/>
                <w:color w:val="33414F"/>
                <w:sz w:val="18"/>
              </w:rPr>
              <w:t xml:space="preserve">Initiation &amp; data gathering</w:t>
            </w:r>
          </w:p>
        </w:tc>
        <w:tc>
          <w:tcPr>
            <w:tcW w:w="4000" w:type="dxa"/>
            <w:tcMar>
              <w:top w:w="45" w:type="dxa"/>
              <w:left w:w="85" w:type="dxa"/>
              <w:bottom w:w="45" w:type="dxa"/>
              <w:right w:w="85" w:type="dxa"/>
            </w:tcMar>
          </w:tcPr>
          <w:p>
            <w:pPr>
              <w:spacing w:after="0" w:before="0"/>
            </w:pPr>
            <w:r>
              <w:rPr>
                <w:b w:val="0"/>
                <w:color w:val="33414F"/>
                <w:sz w:val="18"/>
              </w:rPr>
              <w:t xml:space="preserve">Kick-off (15 Jun); access provisioning; info-request list (org chart, inventories, hosting diagrams, SaaS costs, access matrix, POPIA docs)</w:t>
            </w:r>
          </w:p>
        </w:tc>
      </w:tr>
      <w:tr>
        <w:tc>
          <w:tcPr>
            <w:tcW w:w="1300" w:type="dxa"/>
            <w:tcMar>
              <w:top w:w="45" w:type="dxa"/>
              <w:left w:w="85" w:type="dxa"/>
              <w:bottom w:w="45" w:type="dxa"/>
              <w:right w:w="85" w:type="dxa"/>
            </w:tcMar>
          </w:tcPr>
          <w:p>
            <w:pPr>
              <w:spacing w:after="0" w:before="0"/>
            </w:pPr>
            <w:r>
              <w:rPr>
                <w:b w:val="0"/>
                <w:color w:val="33414F"/>
                <w:sz w:val="18"/>
              </w:rPr>
              <w:t xml:space="preserve">Week 2</w:t>
            </w:r>
          </w:p>
        </w:tc>
        <w:tc>
          <w:tcPr>
            <w:tcW w:w="3600" w:type="dxa"/>
            <w:tcMar>
              <w:top w:w="45" w:type="dxa"/>
              <w:left w:w="85" w:type="dxa"/>
              <w:bottom w:w="45" w:type="dxa"/>
              <w:right w:w="85" w:type="dxa"/>
            </w:tcMar>
          </w:tcPr>
          <w:p>
            <w:pPr>
              <w:spacing w:after="0" w:before="0"/>
            </w:pPr>
            <w:r>
              <w:rPr>
                <w:b w:val="0"/>
                <w:color w:val="33414F"/>
                <w:sz w:val="18"/>
              </w:rPr>
              <w:t xml:space="preserve">Internal systems deep-dive</w:t>
            </w:r>
          </w:p>
        </w:tc>
        <w:tc>
          <w:tcPr>
            <w:tcW w:w="4000" w:type="dxa"/>
            <w:tcMar>
              <w:top w:w="45" w:type="dxa"/>
              <w:left w:w="85" w:type="dxa"/>
              <w:bottom w:w="45" w:type="dxa"/>
              <w:right w:w="85" w:type="dxa"/>
            </w:tcMar>
          </w:tcPr>
          <w:p>
            <w:pPr>
              <w:spacing w:after="0" w:before="0"/>
            </w:pPr>
            <w:r>
              <w:rPr>
                <w:b w:val="0"/>
                <w:color w:val="33414F"/>
                <w:sz w:val="18"/>
              </w:rPr>
              <w:t xml:space="preserve">Finance &amp; HR fieldwork; Sage 300 People demo (22 Jun); finance stack mapping (5 parallel systems)</w:t>
            </w:r>
          </w:p>
        </w:tc>
      </w:tr>
      <w:tr>
        <w:tc>
          <w:tcPr>
            <w:tcW w:w="1300" w:type="dxa"/>
            <w:tcMar>
              <w:top w:w="45" w:type="dxa"/>
              <w:left w:w="85" w:type="dxa"/>
              <w:bottom w:w="45" w:type="dxa"/>
              <w:right w:w="85" w:type="dxa"/>
            </w:tcMar>
          </w:tcPr>
          <w:p>
            <w:pPr>
              <w:spacing w:after="0" w:before="0"/>
            </w:pPr>
            <w:r>
              <w:rPr>
                <w:b w:val="0"/>
                <w:color w:val="33414F"/>
                <w:sz w:val="18"/>
              </w:rPr>
              <w:t xml:space="preserve">Week 3</w:t>
            </w:r>
          </w:p>
        </w:tc>
        <w:tc>
          <w:tcPr>
            <w:tcW w:w="3600" w:type="dxa"/>
            <w:tcMar>
              <w:top w:w="45" w:type="dxa"/>
              <w:left w:w="85" w:type="dxa"/>
              <w:bottom w:w="45" w:type="dxa"/>
              <w:right w:w="85" w:type="dxa"/>
            </w:tcMar>
          </w:tcPr>
          <w:p>
            <w:pPr>
              <w:spacing w:after="0" w:before="0"/>
            </w:pPr>
            <w:r>
              <w:rPr>
                <w:b w:val="0"/>
                <w:color w:val="33414F"/>
                <w:sz w:val="18"/>
              </w:rPr>
              <w:t xml:space="preserve">Client-facing &amp; SMART 2.0 hub; AI governance</w:t>
            </w:r>
          </w:p>
        </w:tc>
        <w:tc>
          <w:tcPr>
            <w:tcW w:w="4000" w:type="dxa"/>
            <w:tcMar>
              <w:top w:w="45" w:type="dxa"/>
              <w:left w:w="85" w:type="dxa"/>
              <w:bottom w:w="45" w:type="dxa"/>
              <w:right w:w="85" w:type="dxa"/>
            </w:tcMar>
          </w:tcPr>
          <w:p>
            <w:pPr>
              <w:spacing w:after="0" w:before="0"/>
            </w:pPr>
            <w:r>
              <w:rPr>
                <w:b w:val="0"/>
                <w:color w:val="33414F"/>
                <w:sz w:val="18"/>
              </w:rPr>
              <w:t xml:space="preserve">Website audit; SMART 2 / SNowI 2 review; Chomi &amp; AI-tooling lens; FLOW scoping (18 Jun)</w:t>
            </w:r>
          </w:p>
        </w:tc>
      </w:tr>
      <w:tr>
        <w:tc>
          <w:tcPr>
            <w:tcW w:w="1300" w:type="dxa"/>
            <w:tcMar>
              <w:top w:w="45" w:type="dxa"/>
              <w:left w:w="85" w:type="dxa"/>
              <w:bottom w:w="45" w:type="dxa"/>
              <w:right w:w="85" w:type="dxa"/>
            </w:tcMar>
          </w:tcPr>
          <w:p>
            <w:pPr>
              <w:spacing w:after="0" w:before="0"/>
            </w:pPr>
            <w:r>
              <w:rPr>
                <w:b w:val="0"/>
                <w:color w:val="33414F"/>
                <w:sz w:val="18"/>
              </w:rPr>
              <w:t xml:space="preserve">Week 4</w:t>
            </w:r>
          </w:p>
        </w:tc>
        <w:tc>
          <w:tcPr>
            <w:tcW w:w="3600" w:type="dxa"/>
            <w:tcMar>
              <w:top w:w="45" w:type="dxa"/>
              <w:left w:w="85" w:type="dxa"/>
              <w:bottom w:w="45" w:type="dxa"/>
              <w:right w:w="85" w:type="dxa"/>
            </w:tcMar>
          </w:tcPr>
          <w:p>
            <w:pPr>
              <w:spacing w:after="0" w:before="0"/>
            </w:pPr>
            <w:r>
              <w:rPr>
                <w:b w:val="0"/>
                <w:color w:val="33414F"/>
                <w:sz w:val="18"/>
              </w:rPr>
              <w:t xml:space="preserve">Consolidation &amp; action planning</w:t>
            </w:r>
          </w:p>
        </w:tc>
        <w:tc>
          <w:tcPr>
            <w:tcW w:w="4000" w:type="dxa"/>
            <w:tcMar>
              <w:top w:w="45" w:type="dxa"/>
              <w:left w:w="85" w:type="dxa"/>
              <w:bottom w:w="45" w:type="dxa"/>
              <w:right w:w="85" w:type="dxa"/>
            </w:tcMar>
          </w:tcPr>
          <w:p>
            <w:pPr>
              <w:spacing w:after="0" w:before="0"/>
            </w:pPr>
            <w:r>
              <w:rPr>
                <w:b w:val="0"/>
                <w:color w:val="33414F"/>
                <w:sz w:val="18"/>
              </w:rPr>
              <w:t xml:space="preserve">Cross-stack findings; POPIA roll-up; QTE-2026-002 compliance interviews; AI dashboard scoping (29 Jun — NACOSA first)</w:t>
            </w:r>
          </w:p>
        </w:tc>
      </w:tr>
      <w:tr>
        <w:tc>
          <w:tcPr>
            <w:tcW w:w="1300" w:type="dxa"/>
            <w:tcMar>
              <w:top w:w="45" w:type="dxa"/>
              <w:left w:w="85" w:type="dxa"/>
              <w:bottom w:w="45" w:type="dxa"/>
              <w:right w:w="85" w:type="dxa"/>
            </w:tcMar>
          </w:tcPr>
          <w:p>
            <w:pPr>
              <w:spacing w:after="0" w:before="0"/>
            </w:pPr>
            <w:r>
              <w:rPr>
                <w:b w:val="0"/>
                <w:color w:val="33414F"/>
                <w:sz w:val="18"/>
              </w:rPr>
              <w:t xml:space="preserve">Week 5</w:t>
            </w:r>
          </w:p>
        </w:tc>
        <w:tc>
          <w:tcPr>
            <w:tcW w:w="3600" w:type="dxa"/>
            <w:tcMar>
              <w:top w:w="45" w:type="dxa"/>
              <w:left w:w="85" w:type="dxa"/>
              <w:bottom w:w="45" w:type="dxa"/>
              <w:right w:w="85" w:type="dxa"/>
            </w:tcMar>
          </w:tcPr>
          <w:p>
            <w:pPr>
              <w:spacing w:after="0" w:before="0"/>
            </w:pPr>
            <w:r>
              <w:rPr>
                <w:b w:val="0"/>
                <w:color w:val="33414F"/>
                <w:sz w:val="18"/>
              </w:rPr>
              <w:t xml:space="preserve">Finalisation &amp; delivery</w:t>
            </w:r>
          </w:p>
        </w:tc>
        <w:tc>
          <w:tcPr>
            <w:tcW w:w="4000" w:type="dxa"/>
            <w:tcMar>
              <w:top w:w="45" w:type="dxa"/>
              <w:left w:w="85" w:type="dxa"/>
              <w:bottom w:w="45" w:type="dxa"/>
              <w:right w:w="85" w:type="dxa"/>
            </w:tcMar>
          </w:tcPr>
          <w:p>
            <w:pPr>
              <w:spacing w:after="0" w:before="0"/>
            </w:pPr>
            <w:r>
              <w:rPr>
                <w:b w:val="0"/>
                <w:color w:val="33414F"/>
                <w:sz w:val="18"/>
              </w:rPr>
              <w:t xml:space="preserve">Consolidated report (1 Jul); A1C hand-in (20 Jul); TOPEND final presentation; audit review (22 Jul, ION-MR-2026-004)</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4. Programme Phasing per SOP — Phase 1 → 2 → 3</w:t>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500"/>
        <w:gridCol w:w="3700"/>
        <w:gridCol w:w="3700"/>
      </w:tblGrid>
      <w:tr>
        <w:tc>
          <w:tcPr>
            <w:tcW w:w="1500" w:type="dxa"/>
            <w:shd w:val="clear" w:color="auto" w:fill="0D2137"/>
            <w:tcMar>
              <w:top w:w="45" w:type="dxa"/>
              <w:left w:w="85" w:type="dxa"/>
              <w:bottom w:w="45" w:type="dxa"/>
              <w:right w:w="85" w:type="dxa"/>
            </w:tcMar>
          </w:tcPr>
          <w:p>
            <w:pPr>
              <w:spacing w:after="0" w:before="0"/>
            </w:pPr>
            <w:r>
              <w:rPr>
                <w:b/>
                <w:color w:val="FFFFFF"/>
                <w:sz w:val="18"/>
              </w:rPr>
              <w:t xml:space="preserve">Phase</w:t>
            </w:r>
          </w:p>
        </w:tc>
        <w:tc>
          <w:tcPr>
            <w:tcW w:w="3700" w:type="dxa"/>
            <w:shd w:val="clear" w:color="auto" w:fill="0D2137"/>
            <w:tcMar>
              <w:top w:w="45" w:type="dxa"/>
              <w:left w:w="85" w:type="dxa"/>
              <w:bottom w:w="45" w:type="dxa"/>
              <w:right w:w="85" w:type="dxa"/>
            </w:tcMar>
          </w:tcPr>
          <w:p>
            <w:pPr>
              <w:spacing w:after="0" w:before="0"/>
            </w:pPr>
            <w:r>
              <w:rPr>
                <w:b/>
                <w:color w:val="FFFFFF"/>
                <w:sz w:val="18"/>
              </w:rPr>
              <w:t xml:space="preserve">Objective</w:t>
            </w:r>
          </w:p>
        </w:tc>
        <w:tc>
          <w:tcPr>
            <w:tcW w:w="3700" w:type="dxa"/>
            <w:shd w:val="clear" w:color="auto" w:fill="0D2137"/>
            <w:tcMar>
              <w:top w:w="45" w:type="dxa"/>
              <w:left w:w="85" w:type="dxa"/>
              <w:bottom w:w="45" w:type="dxa"/>
              <w:right w:w="85" w:type="dxa"/>
            </w:tcMar>
          </w:tcPr>
          <w:p>
            <w:pPr>
              <w:spacing w:after="0" w:before="0"/>
            </w:pPr>
            <w:r>
              <w:rPr>
                <w:b/>
                <w:color w:val="FFFFFF"/>
                <w:sz w:val="18"/>
              </w:rPr>
              <w:t xml:space="preserve">Standing</w:t>
            </w:r>
          </w:p>
        </w:tc>
      </w:tr>
      <w:tr>
        <w:tc>
          <w:tcPr>
            <w:tcW w:w="1500" w:type="dxa"/>
            <w:tcMar>
              <w:top w:w="45" w:type="dxa"/>
              <w:left w:w="85" w:type="dxa"/>
              <w:bottom w:w="45" w:type="dxa"/>
              <w:right w:w="85" w:type="dxa"/>
            </w:tcMar>
          </w:tcPr>
          <w:p>
            <w:pPr>
              <w:spacing w:after="0" w:before="0"/>
            </w:pPr>
            <w:r>
              <w:rPr>
                <w:b w:val="0"/>
                <w:color w:val="33414F"/>
                <w:sz w:val="18"/>
              </w:rPr>
              <w:t xml:space="preserve">Phase 1</w:t>
            </w:r>
          </w:p>
        </w:tc>
        <w:tc>
          <w:tcPr>
            <w:tcW w:w="3700" w:type="dxa"/>
            <w:tcMar>
              <w:top w:w="45" w:type="dxa"/>
              <w:left w:w="85" w:type="dxa"/>
              <w:bottom w:w="45" w:type="dxa"/>
              <w:right w:w="85" w:type="dxa"/>
            </w:tcMar>
          </w:tcPr>
          <w:p>
            <w:pPr>
              <w:spacing w:after="0" w:before="0"/>
            </w:pPr>
            <w:r>
              <w:rPr>
                <w:b w:val="0"/>
                <w:color w:val="33414F"/>
                <w:sz w:val="18"/>
              </w:rPr>
              <w:t xml:space="preserve">Audit, Assess, Advise — agile discovery across the 21 systems and the SMART 2.0 hub</w:t>
            </w:r>
          </w:p>
        </w:tc>
        <w:tc>
          <w:tcPr>
            <w:tcW w:w="3700" w:type="dxa"/>
            <w:tcMar>
              <w:top w:w="45" w:type="dxa"/>
              <w:left w:w="85" w:type="dxa"/>
              <w:bottom w:w="45" w:type="dxa"/>
              <w:right w:w="85" w:type="dxa"/>
            </w:tcMar>
          </w:tcPr>
          <w:p>
            <w:pPr>
              <w:spacing w:after="0" w:before="0"/>
            </w:pPr>
            <w:r>
              <w:rPr>
                <w:b w:val="0"/>
                <w:color w:val="33414F"/>
                <w:sz w:val="18"/>
              </w:rPr>
              <w:t xml:space="preserve">COMPLETE — this IR is the contracted action plan</w:t>
            </w:r>
          </w:p>
        </w:tc>
      </w:tr>
      <w:tr>
        <w:tc>
          <w:tcPr>
            <w:tcW w:w="1500" w:type="dxa"/>
            <w:tcMar>
              <w:top w:w="45" w:type="dxa"/>
              <w:left w:w="85" w:type="dxa"/>
              <w:bottom w:w="45" w:type="dxa"/>
              <w:right w:w="85" w:type="dxa"/>
            </w:tcMar>
          </w:tcPr>
          <w:p>
            <w:pPr>
              <w:spacing w:after="0" w:before="0"/>
            </w:pPr>
            <w:r>
              <w:rPr>
                <w:b w:val="0"/>
                <w:color w:val="33414F"/>
                <w:sz w:val="18"/>
              </w:rPr>
              <w:t xml:space="preserve">Phase 2</w:t>
            </w:r>
          </w:p>
        </w:tc>
        <w:tc>
          <w:tcPr>
            <w:tcW w:w="3700" w:type="dxa"/>
            <w:tcMar>
              <w:top w:w="45" w:type="dxa"/>
              <w:left w:w="85" w:type="dxa"/>
              <w:bottom w:w="45" w:type="dxa"/>
              <w:right w:w="85" w:type="dxa"/>
            </w:tcMar>
          </w:tcPr>
          <w:p>
            <w:pPr>
              <w:spacing w:after="0" w:before="0"/>
            </w:pPr>
            <w:r>
              <w:rPr>
                <w:b w:val="0"/>
                <w:color w:val="33414F"/>
                <w:sz w:val="18"/>
              </w:rPr>
              <w:t xml:space="preserve">DOME-Network — the AI-native backbone (Section 6); Sovereign Hybrid end-state; AEDI capability matrix</w:t>
            </w:r>
          </w:p>
        </w:tc>
        <w:tc>
          <w:tcPr>
            <w:tcW w:w="3700" w:type="dxa"/>
            <w:tcMar>
              <w:top w:w="45" w:type="dxa"/>
              <w:left w:w="85" w:type="dxa"/>
              <w:bottom w:w="45" w:type="dxa"/>
              <w:right w:w="85" w:type="dxa"/>
            </w:tcMar>
          </w:tcPr>
          <w:p>
            <w:pPr>
              <w:spacing w:after="0" w:before="0"/>
            </w:pPr>
            <w:r>
              <w:rPr>
                <w:b w:val="0"/>
                <w:color w:val="33414F"/>
                <w:sz w:val="18"/>
              </w:rPr>
              <w:t xml:space="preserve">Pathway decision now; scoping Oct–Nov; priced in the commercial pack</w:t>
            </w:r>
          </w:p>
        </w:tc>
      </w:tr>
      <w:tr>
        <w:tc>
          <w:tcPr>
            <w:tcW w:w="1500" w:type="dxa"/>
            <w:tcMar>
              <w:top w:w="45" w:type="dxa"/>
              <w:left w:w="85" w:type="dxa"/>
              <w:bottom w:w="45" w:type="dxa"/>
              <w:right w:w="85" w:type="dxa"/>
            </w:tcMar>
          </w:tcPr>
          <w:p>
            <w:pPr>
              <w:spacing w:after="0" w:before="0"/>
            </w:pPr>
            <w:r>
              <w:rPr>
                <w:b w:val="0"/>
                <w:color w:val="33414F"/>
                <w:sz w:val="18"/>
              </w:rPr>
              <w:t xml:space="preserve">Phase 3</w:t>
            </w:r>
          </w:p>
        </w:tc>
        <w:tc>
          <w:tcPr>
            <w:tcW w:w="3700" w:type="dxa"/>
            <w:tcMar>
              <w:top w:w="45" w:type="dxa"/>
              <w:left w:w="85" w:type="dxa"/>
              <w:bottom w:w="45" w:type="dxa"/>
              <w:right w:w="85" w:type="dxa"/>
            </w:tcMar>
          </w:tcPr>
          <w:p>
            <w:pPr>
              <w:spacing w:after="0" w:before="0"/>
            </w:pPr>
            <w:r>
              <w:rPr>
                <w:b w:val="0"/>
                <w:color w:val="33414F"/>
                <w:sz w:val="18"/>
              </w:rPr>
              <w:t xml:space="preserve">Rationalise &amp; Cut — consolidation, cloud right-sizing, MojaMind cost evaluation, decommissioning</w:t>
            </w:r>
          </w:p>
        </w:tc>
        <w:tc>
          <w:tcPr>
            <w:tcW w:w="3700" w:type="dxa"/>
            <w:tcMar>
              <w:top w:w="45" w:type="dxa"/>
              <w:left w:w="85" w:type="dxa"/>
              <w:bottom w:w="45" w:type="dxa"/>
              <w:right w:w="85" w:type="dxa"/>
            </w:tcMar>
          </w:tcPr>
          <w:p>
            <w:pPr>
              <w:spacing w:after="0" w:before="0"/>
            </w:pPr>
            <w:r>
              <w:rPr>
                <w:b w:val="0"/>
                <w:color w:val="33414F"/>
                <w:sz w:val="18"/>
              </w:rPr>
              <w:t xml:space="preserve">Time-critical elements brought forward (Workstreams A &amp; B) — September cliff</w:t>
            </w:r>
          </w:p>
        </w:tc>
      </w:tr>
    </w:tbl>
    <w:p>
      <w:pPr>
        <w:spacing w:after="80"/>
      </w:pP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Operating philosophy, agreed 2 June and unchanged: optimise first, DOME later — but "later" is now a defined, engineered path, not a vague ambition. The SOP loop is the precondition; DOME is what the SOP grows into.</w:t>
      </w:r>
    </w:p>
    <w:p>
      <w:r>
        <w:br w:type="page"/>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5. Pathways — Five Options for the AWS Workloads, the Client Decides</w:t>
      </w:r>
    </w:p>
    <w:p>
      <w:pPr>
        <w:spacing w:before="80" w:after="120"/>
        <w:ind w:left="480" w:right="480"/>
      </w:pPr>
      <w:r>
        <w:rPr>
          <w:rtl w:val="0"/>
          <w:i/>
          <w:color w:val="15314F"/>
        </w:rPr>
        <w:t xml:space="preserve">“Phase 1 mandate: list the options, price them honestly, and leave the direction with the client (§2.4).” — TOPEND final presentation, DOC-2026-07-021</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engineered exit from AWS is the pivot of this roadmap. Five paths were tabled — one recommendation, no blinkers. Headline position: exit AWS onto Ionity Private Intranet hosting, with Azure retained as the backbone. Whichever path Exco chooses, the SOP loop, IA·MCP evidence cadence and AI-governance alignment stay identical.</w:t>
      </w:r>
    </w:p>
    <w:p>
      <w:pPr>
        <w:spacing w:before="80" w:after="120"/>
        <w:jc w:val="center"/>
      </w:pPr>
      <w:r>
        <w:drawing>
          <wp:inline xmlns:wp="http://schemas.openxmlformats.org/drawingml/2006/wordprocessingDrawing" distT="0" distB="0" distL="0" distR="0">
            <wp:extent cx="5852160" cy="3702707"/>
            <wp:effectExtent l="0" t="0" r="0" b="0"/>
            <wp:docPr id="207" name="Five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Five pathways"/>
                    <pic:cNvPicPr/>
                  </pic:nvPicPr>
                  <pic:blipFill>
                    <a:blip r:embed="rIdD7"/>
                    <a:stretch>
                      <a:fillRect/>
                    </a:stretch>
                  </pic:blipFill>
                  <pic:spPr>
                    <a:xfrm>
                      <a:off x="0" y="0"/>
                      <a:ext cx="5852160" cy="3702707"/>
                    </a:xfrm>
                    <a:prstGeom prst="rect">
                      <a:avLst/>
                    </a:prstGeom>
                  </pic:spPr>
                </pic:pic>
              </a:graphicData>
            </a:graphic>
          </wp:inline>
        </w:drawing>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900"/>
        <w:gridCol w:w="3700"/>
        <w:gridCol w:w="1700"/>
        <w:gridCol w:w="2600"/>
      </w:tblGrid>
      <w:tr>
        <w:tc>
          <w:tcPr>
            <w:tcW w:w="900" w:type="dxa"/>
            <w:shd w:val="clear" w:color="auto" w:fill="0D2137"/>
            <w:tcMar>
              <w:top w:w="45" w:type="dxa"/>
              <w:left w:w="85" w:type="dxa"/>
              <w:bottom w:w="45" w:type="dxa"/>
              <w:right w:w="85" w:type="dxa"/>
            </w:tcMar>
          </w:tcPr>
          <w:p>
            <w:pPr>
              <w:spacing w:after="0" w:before="0"/>
            </w:pPr>
            <w:r>
              <w:rPr>
                <w:b/>
                <w:color w:val="FFFFFF"/>
                <w:sz w:val="18"/>
              </w:rPr>
              <w:t xml:space="preserve">Path</w:t>
            </w:r>
          </w:p>
        </w:tc>
        <w:tc>
          <w:tcPr>
            <w:tcW w:w="3700" w:type="dxa"/>
            <w:shd w:val="clear" w:color="auto" w:fill="0D2137"/>
            <w:tcMar>
              <w:top w:w="45" w:type="dxa"/>
              <w:left w:w="85" w:type="dxa"/>
              <w:bottom w:w="45" w:type="dxa"/>
              <w:right w:w="85" w:type="dxa"/>
            </w:tcMar>
          </w:tcPr>
          <w:p>
            <w:pPr>
              <w:spacing w:after="0" w:before="0"/>
            </w:pPr>
            <w:r>
              <w:rPr>
                <w:b/>
                <w:color w:val="FFFFFF"/>
                <w:sz w:val="18"/>
              </w:rPr>
              <w:t xml:space="preserve">Description</w:t>
            </w:r>
          </w:p>
        </w:tc>
        <w:tc>
          <w:tcPr>
            <w:tcW w:w="1700" w:type="dxa"/>
            <w:shd w:val="clear" w:color="auto" w:fill="0D2137"/>
            <w:tcMar>
              <w:top w:w="45" w:type="dxa"/>
              <w:left w:w="85" w:type="dxa"/>
              <w:bottom w:w="45" w:type="dxa"/>
              <w:right w:w="85" w:type="dxa"/>
            </w:tcMar>
          </w:tcPr>
          <w:p>
            <w:pPr>
              <w:spacing w:after="0" w:before="0"/>
            </w:pPr>
            <w:r>
              <w:rPr>
                <w:b/>
                <w:color w:val="FFFFFF"/>
                <w:sz w:val="18"/>
              </w:rPr>
              <w:t xml:space="preserve">Verdict</w:t>
            </w:r>
          </w:p>
        </w:tc>
        <w:tc>
          <w:tcPr>
            <w:tcW w:w="2600" w:type="dxa"/>
            <w:shd w:val="clear" w:color="auto" w:fill="0D2137"/>
            <w:tcMar>
              <w:top w:w="45" w:type="dxa"/>
              <w:left w:w="85" w:type="dxa"/>
              <w:bottom w:w="45" w:type="dxa"/>
              <w:right w:w="85" w:type="dxa"/>
            </w:tcMar>
          </w:tcPr>
          <w:p>
            <w:pPr>
              <w:spacing w:after="0" w:before="0"/>
            </w:pPr>
            <w:r>
              <w:rPr>
                <w:b/>
                <w:color w:val="FFFFFF"/>
                <w:sz w:val="18"/>
              </w:rPr>
              <w:t xml:space="preserve">Why / conditions</w:t>
            </w:r>
          </w:p>
        </w:tc>
      </w:tr>
      <w:tr>
        <w:tc>
          <w:tcPr>
            <w:tcW w:w="900" w:type="dxa"/>
            <w:tcMar>
              <w:top w:w="45" w:type="dxa"/>
              <w:left w:w="85" w:type="dxa"/>
              <w:bottom w:w="45" w:type="dxa"/>
              <w:right w:w="85" w:type="dxa"/>
            </w:tcMar>
          </w:tcPr>
          <w:p>
            <w:pPr>
              <w:spacing w:after="0" w:before="0"/>
            </w:pPr>
            <w:r>
              <w:rPr>
                <w:b w:val="0"/>
                <w:color w:val="33414F"/>
                <w:sz w:val="18"/>
              </w:rPr>
              <w:t xml:space="preserve">A</w:t>
            </w:r>
          </w:p>
        </w:tc>
        <w:tc>
          <w:tcPr>
            <w:tcW w:w="3700" w:type="dxa"/>
            <w:tcMar>
              <w:top w:w="45" w:type="dxa"/>
              <w:left w:w="85" w:type="dxa"/>
              <w:bottom w:w="45" w:type="dxa"/>
              <w:right w:w="85" w:type="dxa"/>
            </w:tcMar>
          </w:tcPr>
          <w:p>
            <w:pPr>
              <w:spacing w:after="0" w:before="0"/>
            </w:pPr>
            <w:r>
              <w:rPr>
                <w:b w:val="0"/>
                <w:color w:val="33414F"/>
                <w:sz w:val="18"/>
              </w:rPr>
              <w:t xml:space="preserve">Ionity Private Intranet — on-prem micro-computing cluster: eight 5V/20W-class nodes ("draws less than a kettle"), CLINICAL-tier topology; hardware owned by SHOUT-IT-NOW</w:t>
            </w:r>
          </w:p>
        </w:tc>
        <w:tc>
          <w:tcPr>
            <w:tcW w:w="1700" w:type="dxa"/>
            <w:tcMar>
              <w:top w:w="45" w:type="dxa"/>
              <w:left w:w="85" w:type="dxa"/>
              <w:bottom w:w="45" w:type="dxa"/>
              <w:right w:w="85" w:type="dxa"/>
            </w:tcMar>
          </w:tcPr>
          <w:p>
            <w:pPr>
              <w:spacing w:after="0" w:before="0"/>
            </w:pPr>
            <w:r>
              <w:rPr>
                <w:b w:val="0"/>
                <w:color w:val="33414F"/>
                <w:sz w:val="18"/>
              </w:rPr>
              <w:t xml:space="preserve">RECOMMENDED</w:t>
            </w:r>
          </w:p>
        </w:tc>
        <w:tc>
          <w:tcPr>
            <w:tcW w:w="2600" w:type="dxa"/>
            <w:tcMar>
              <w:top w:w="45" w:type="dxa"/>
              <w:left w:w="85" w:type="dxa"/>
              <w:bottom w:w="45" w:type="dxa"/>
              <w:right w:w="85" w:type="dxa"/>
            </w:tcMar>
          </w:tcPr>
          <w:p>
            <w:pPr>
              <w:spacing w:after="0" w:before="0"/>
            </w:pPr>
            <w:r>
              <w:rPr>
                <w:b w:val="0"/>
                <w:color w:val="33414F"/>
                <w:sz w:val="18"/>
              </w:rPr>
              <w:t xml:space="preserve">POPIA-by-design; flat-rand cost; offline-first sync; sovereignty; AI-M edge-AI upgrade line (Q2-2026)</w:t>
            </w:r>
          </w:p>
        </w:tc>
      </w:tr>
      <w:tr>
        <w:tc>
          <w:tcPr>
            <w:tcW w:w="900" w:type="dxa"/>
            <w:tcMar>
              <w:top w:w="45" w:type="dxa"/>
              <w:left w:w="85" w:type="dxa"/>
              <w:bottom w:w="45" w:type="dxa"/>
              <w:right w:w="85" w:type="dxa"/>
            </w:tcMar>
          </w:tcPr>
          <w:p>
            <w:pPr>
              <w:spacing w:after="0" w:before="0"/>
            </w:pPr>
            <w:r>
              <w:rPr>
                <w:b w:val="0"/>
                <w:color w:val="33414F"/>
                <w:sz w:val="18"/>
              </w:rPr>
              <w:t xml:space="preserve">B</w:t>
            </w:r>
          </w:p>
        </w:tc>
        <w:tc>
          <w:tcPr>
            <w:tcW w:w="3700" w:type="dxa"/>
            <w:tcMar>
              <w:top w:w="45" w:type="dxa"/>
              <w:left w:w="85" w:type="dxa"/>
              <w:bottom w:w="45" w:type="dxa"/>
              <w:right w:w="85" w:type="dxa"/>
            </w:tcMar>
          </w:tcPr>
          <w:p>
            <w:pPr>
              <w:spacing w:after="0" w:before="0"/>
            </w:pPr>
            <w:r>
              <w:rPr>
                <w:b w:val="0"/>
                <w:color w:val="33414F"/>
                <w:sz w:val="18"/>
              </w:rPr>
              <w:t xml:space="preserve">Lift AWS workloads into retained Azure (SA North), NPO pricing, Entra one-login</w:t>
            </w:r>
          </w:p>
        </w:tc>
        <w:tc>
          <w:tcPr>
            <w:tcW w:w="1700" w:type="dxa"/>
            <w:tcMar>
              <w:top w:w="45" w:type="dxa"/>
              <w:left w:w="85" w:type="dxa"/>
              <w:bottom w:w="45" w:type="dxa"/>
              <w:right w:w="85" w:type="dxa"/>
            </w:tcMar>
          </w:tcPr>
          <w:p>
            <w:pPr>
              <w:spacing w:after="0" w:before="0"/>
            </w:pPr>
            <w:r>
              <w:rPr>
                <w:b w:val="0"/>
                <w:color w:val="33414F"/>
                <w:sz w:val="18"/>
              </w:rPr>
              <w:t xml:space="preserve">VIABLE</w:t>
            </w:r>
          </w:p>
        </w:tc>
        <w:tc>
          <w:tcPr>
            <w:tcW w:w="2600" w:type="dxa"/>
            <w:tcMar>
              <w:top w:w="45" w:type="dxa"/>
              <w:left w:w="85" w:type="dxa"/>
              <w:bottom w:w="45" w:type="dxa"/>
              <w:right w:w="85" w:type="dxa"/>
            </w:tcMar>
          </w:tcPr>
          <w:p>
            <w:pPr>
              <w:spacing w:after="0" w:before="0"/>
            </w:pPr>
            <w:r>
              <w:rPr>
                <w:b w:val="0"/>
                <w:color w:val="33414F"/>
                <w:sz w:val="18"/>
              </w:rPr>
              <w:t xml:space="preserve">Fastest de-risk of the September cliff; keeps single-tenancy story</w:t>
            </w:r>
          </w:p>
        </w:tc>
      </w:tr>
      <w:tr>
        <w:tc>
          <w:tcPr>
            <w:tcW w:w="900" w:type="dxa"/>
            <w:tcMar>
              <w:top w:w="45" w:type="dxa"/>
              <w:left w:w="85" w:type="dxa"/>
              <w:bottom w:w="45" w:type="dxa"/>
              <w:right w:w="85" w:type="dxa"/>
            </w:tcMar>
          </w:tcPr>
          <w:p>
            <w:pPr>
              <w:spacing w:after="0" w:before="0"/>
            </w:pPr>
            <w:r>
              <w:rPr>
                <w:b w:val="0"/>
                <w:color w:val="33414F"/>
                <w:sz w:val="18"/>
              </w:rPr>
              <w:t xml:space="preserve">C</w:t>
            </w:r>
          </w:p>
        </w:tc>
        <w:tc>
          <w:tcPr>
            <w:tcW w:w="3700" w:type="dxa"/>
            <w:tcMar>
              <w:top w:w="45" w:type="dxa"/>
              <w:left w:w="85" w:type="dxa"/>
              <w:bottom w:w="45" w:type="dxa"/>
              <w:right w:w="85" w:type="dxa"/>
            </w:tcMar>
          </w:tcPr>
          <w:p>
            <w:pPr>
              <w:spacing w:after="0" w:before="0"/>
            </w:pPr>
            <w:r>
              <w:rPr>
                <w:b w:val="0"/>
                <w:color w:val="33414F"/>
                <w:sz w:val="18"/>
              </w:rPr>
              <w:t xml:space="preserve">Stay on AWS af-south-1 and harden in place</w:t>
            </w:r>
          </w:p>
        </w:tc>
        <w:tc>
          <w:tcPr>
            <w:tcW w:w="1700" w:type="dxa"/>
            <w:tcMar>
              <w:top w:w="45" w:type="dxa"/>
              <w:left w:w="85" w:type="dxa"/>
              <w:bottom w:w="45" w:type="dxa"/>
              <w:right w:w="85" w:type="dxa"/>
            </w:tcMar>
          </w:tcPr>
          <w:p>
            <w:pPr>
              <w:spacing w:after="0" w:before="0"/>
            </w:pPr>
            <w:r>
              <w:rPr>
                <w:b w:val="0"/>
                <w:color w:val="33414F"/>
                <w:sz w:val="18"/>
              </w:rPr>
              <w:t xml:space="preserve">PARTIAL FIX</w:t>
            </w:r>
          </w:p>
        </w:tc>
        <w:tc>
          <w:tcPr>
            <w:tcW w:w="2600" w:type="dxa"/>
            <w:tcMar>
              <w:top w:w="45" w:type="dxa"/>
              <w:left w:w="85" w:type="dxa"/>
              <w:bottom w:w="45" w:type="dxa"/>
              <w:right w:w="85" w:type="dxa"/>
            </w:tcMar>
          </w:tcPr>
          <w:p>
            <w:pPr>
              <w:spacing w:after="0" w:before="0"/>
            </w:pPr>
            <w:r>
              <w:rPr>
                <w:b w:val="0"/>
                <w:color w:val="33414F"/>
                <w:sz w:val="18"/>
              </w:rPr>
              <w:t xml:space="preserve">Cost cliff remains; residency verified but sprawl and lock-in stay</w:t>
            </w:r>
          </w:p>
        </w:tc>
      </w:tr>
      <w:tr>
        <w:tc>
          <w:tcPr>
            <w:tcW w:w="900" w:type="dxa"/>
            <w:tcMar>
              <w:top w:w="45" w:type="dxa"/>
              <w:left w:w="85" w:type="dxa"/>
              <w:bottom w:w="45" w:type="dxa"/>
              <w:right w:w="85" w:type="dxa"/>
            </w:tcMar>
          </w:tcPr>
          <w:p>
            <w:pPr>
              <w:spacing w:after="0" w:before="0"/>
            </w:pPr>
            <w:r>
              <w:rPr>
                <w:b w:val="0"/>
                <w:color w:val="33414F"/>
                <w:sz w:val="18"/>
              </w:rPr>
              <w:t xml:space="preserve">D</w:t>
            </w:r>
          </w:p>
        </w:tc>
        <w:tc>
          <w:tcPr>
            <w:tcW w:w="3700" w:type="dxa"/>
            <w:tcMar>
              <w:top w:w="45" w:type="dxa"/>
              <w:left w:w="85" w:type="dxa"/>
              <w:bottom w:w="45" w:type="dxa"/>
              <w:right w:w="85" w:type="dxa"/>
            </w:tcMar>
          </w:tcPr>
          <w:p>
            <w:pPr>
              <w:spacing w:after="0" w:before="0"/>
            </w:pPr>
            <w:r>
              <w:rPr>
                <w:b w:val="0"/>
                <w:color w:val="33414F"/>
                <w:sz w:val="18"/>
              </w:rPr>
              <w:t xml:space="preserve">Local SA VPS / colocation</w:t>
            </w:r>
          </w:p>
        </w:tc>
        <w:tc>
          <w:tcPr>
            <w:tcW w:w="1700" w:type="dxa"/>
            <w:tcMar>
              <w:top w:w="45" w:type="dxa"/>
              <w:left w:w="85" w:type="dxa"/>
              <w:bottom w:w="45" w:type="dxa"/>
              <w:right w:w="85" w:type="dxa"/>
            </w:tcMar>
          </w:tcPr>
          <w:p>
            <w:pPr>
              <w:spacing w:after="0" w:before="0"/>
            </w:pPr>
            <w:r>
              <w:rPr>
                <w:b w:val="0"/>
                <w:color w:val="33414F"/>
                <w:sz w:val="18"/>
              </w:rPr>
              <w:t xml:space="preserve">NOT ADVISED</w:t>
            </w:r>
          </w:p>
        </w:tc>
        <w:tc>
          <w:tcPr>
            <w:tcW w:w="2600" w:type="dxa"/>
            <w:tcMar>
              <w:top w:w="45" w:type="dxa"/>
              <w:left w:w="85" w:type="dxa"/>
              <w:bottom w:w="45" w:type="dxa"/>
              <w:right w:w="85" w:type="dxa"/>
            </w:tcMar>
          </w:tcPr>
          <w:p>
            <w:pPr>
              <w:spacing w:after="0" w:before="0"/>
            </w:pPr>
            <w:r>
              <w:rPr>
                <w:b w:val="0"/>
                <w:color w:val="33414F"/>
                <w:sz w:val="18"/>
              </w:rPr>
              <w:t xml:space="preserve">Trades one dependency for a weaker one; no governance gain</w:t>
            </w:r>
          </w:p>
        </w:tc>
      </w:tr>
      <w:tr>
        <w:tc>
          <w:tcPr>
            <w:tcW w:w="900" w:type="dxa"/>
            <w:tcMar>
              <w:top w:w="45" w:type="dxa"/>
              <w:left w:w="85" w:type="dxa"/>
              <w:bottom w:w="45" w:type="dxa"/>
              <w:right w:w="85" w:type="dxa"/>
            </w:tcMar>
          </w:tcPr>
          <w:p>
            <w:pPr>
              <w:spacing w:after="0" w:before="0"/>
            </w:pPr>
            <w:r>
              <w:rPr>
                <w:b w:val="0"/>
                <w:color w:val="33414F"/>
                <w:sz w:val="18"/>
              </w:rPr>
              <w:t xml:space="preserve">E</w:t>
            </w:r>
          </w:p>
        </w:tc>
        <w:tc>
          <w:tcPr>
            <w:tcW w:w="3700" w:type="dxa"/>
            <w:tcMar>
              <w:top w:w="45" w:type="dxa"/>
              <w:left w:w="85" w:type="dxa"/>
              <w:bottom w:w="45" w:type="dxa"/>
              <w:right w:w="85" w:type="dxa"/>
            </w:tcMar>
          </w:tcPr>
          <w:p>
            <w:pPr>
              <w:spacing w:after="0" w:before="0"/>
            </w:pPr>
            <w:r>
              <w:rPr>
                <w:b w:val="0"/>
                <w:color w:val="33414F"/>
                <w:sz w:val="18"/>
              </w:rPr>
              <w:t xml:space="preserve">SOVEREIGN HYBRID — Ionity cluster + encrypted Azure DR replica</w:t>
            </w:r>
          </w:p>
        </w:tc>
        <w:tc>
          <w:tcPr>
            <w:tcW w:w="1700" w:type="dxa"/>
            <w:tcMar>
              <w:top w:w="45" w:type="dxa"/>
              <w:left w:w="85" w:type="dxa"/>
              <w:bottom w:w="45" w:type="dxa"/>
              <w:right w:w="85" w:type="dxa"/>
            </w:tcMar>
          </w:tcPr>
          <w:p>
            <w:pPr>
              <w:spacing w:after="0" w:before="0"/>
            </w:pPr>
            <w:r>
              <w:rPr>
                <w:b w:val="0"/>
                <w:color w:val="33414F"/>
                <w:sz w:val="18"/>
              </w:rPr>
              <w:t xml:space="preserve">UPGRADE PATH</w:t>
            </w:r>
          </w:p>
        </w:tc>
        <w:tc>
          <w:tcPr>
            <w:tcW w:w="2600" w:type="dxa"/>
            <w:tcMar>
              <w:top w:w="45" w:type="dxa"/>
              <w:left w:w="85" w:type="dxa"/>
              <w:bottom w:w="45" w:type="dxa"/>
              <w:right w:w="85" w:type="dxa"/>
            </w:tcMar>
          </w:tcPr>
          <w:p>
            <w:pPr>
              <w:spacing w:after="0" w:before="0"/>
            </w:pPr>
            <w:r>
              <w:rPr>
                <w:b w:val="0"/>
                <w:color w:val="33414F"/>
                <w:sz w:val="18"/>
              </w:rPr>
              <w:t xml:space="preserve">"The natural Phase-2 / DOME end-state" — A’s sovereignty with Azure resilience; the backbone configuration</w:t>
            </w:r>
          </w:p>
        </w:tc>
      </w:tr>
    </w:tbl>
    <w:p>
      <w:pPr>
        <w:spacing w:after="80"/>
      </w:pPr>
    </w:p>
    <w:p>
      <w:pPr>
        <w:spacing w:after="80"/>
        <w:ind w:left="360"/>
      </w:pPr>
      <w:r>
        <w:rPr>
          <w:rtl w:val="0"/>
          <w:b/>
          <w:color w:val="0D2137"/>
        </w:rPr>
        <w:t xml:space="preserve">How to read this with Section 6: </w:t>
      </w:r>
      <w:r>
        <w:rPr>
          <w:rtl w:val="0"/>
        </w:rPr>
        <w:t xml:space="preserve">Paths A and B are both honest destinations for the workloads. Path E is where they converge once the SOP is embedded: the cluster carries sovereign clinical workloads, Azure carries DR and the M365/Fabric estate, and DOME-Network becomes the intelligent backbone that routes, protects and audits everything between them.</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6. DOME-Network — The Backbone Path</w:t>
      </w:r>
    </w:p>
    <w:p>
      <w:pPr>
        <w:spacing w:before="80" w:after="120"/>
        <w:ind w:left="480" w:right="480"/>
      </w:pPr>
      <w:r>
        <w:rPr>
          <w:rtl w:val="0"/>
          <w:i/>
          <w:color w:val="15314F"/>
        </w:rPr>
        <w:t xml:space="preserve">“Not a firewall, not a SIEM, not an iPaaS, not a chatbot — a thin, intelligent layer between the user (human or machine) and the systems, speaking AI as its first language.” — ION-QUO-SHOUT-2026-001, Forward Look</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DOME-Network is Phase 2 — and if Exco selects it, it is the backbone of the estate after the SOP: every request, human or machine, passes through one governed layer. POPIA is enforced at the routing layer rather than per-application, and one client identity is unified across iSHOUT!, Chomi, Self Cav, AIMEE, SMART 2.0 and SNowI 2 — the six systems confirmed to carry special personal information. The single console replaces "20 000 tabs": the DOME-principle ERP demo of 2 June was received well precisely because it made the whole stack conversational.</w:t>
      </w: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6.1 What DOME institutionalises (AEDI capability matrix)</w:t>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3000"/>
        <w:gridCol w:w="5800"/>
      </w:tblGrid>
      <w:tr>
        <w:tc>
          <w:tcPr>
            <w:tcW w:w="3000" w:type="dxa"/>
            <w:shd w:val="clear" w:color="auto" w:fill="0D2137"/>
            <w:tcMar>
              <w:top w:w="45" w:type="dxa"/>
              <w:left w:w="85" w:type="dxa"/>
              <w:bottom w:w="45" w:type="dxa"/>
              <w:right w:w="85" w:type="dxa"/>
            </w:tcMar>
          </w:tcPr>
          <w:p>
            <w:pPr>
              <w:spacing w:after="0" w:before="0"/>
            </w:pPr>
            <w:r>
              <w:rPr>
                <w:b/>
                <w:color w:val="FFFFFF"/>
                <w:sz w:val="18"/>
              </w:rPr>
              <w:t xml:space="preserve">Capability</w:t>
            </w:r>
          </w:p>
        </w:tc>
        <w:tc>
          <w:tcPr>
            <w:tcW w:w="5800" w:type="dxa"/>
            <w:shd w:val="clear" w:color="auto" w:fill="0D2137"/>
            <w:tcMar>
              <w:top w:w="45" w:type="dxa"/>
              <w:left w:w="85" w:type="dxa"/>
              <w:bottom w:w="45" w:type="dxa"/>
              <w:right w:w="85" w:type="dxa"/>
            </w:tcMar>
          </w:tcPr>
          <w:p>
            <w:pPr>
              <w:spacing w:after="0" w:before="0"/>
            </w:pPr>
            <w:r>
              <w:rPr>
                <w:b/>
                <w:color w:val="FFFFFF"/>
                <w:sz w:val="18"/>
              </w:rPr>
              <w:t xml:space="preserve">What it gives SHOUT-IT-NOW</w:t>
            </w:r>
          </w:p>
        </w:tc>
      </w:tr>
      <w:tr>
        <w:tc>
          <w:tcPr>
            <w:tcW w:w="3000" w:type="dxa"/>
            <w:tcMar>
              <w:top w:w="45" w:type="dxa"/>
              <w:left w:w="85" w:type="dxa"/>
              <w:bottom w:w="45" w:type="dxa"/>
              <w:right w:w="85" w:type="dxa"/>
            </w:tcMar>
          </w:tcPr>
          <w:p>
            <w:pPr>
              <w:spacing w:after="0" w:before="0"/>
            </w:pPr>
            <w:r>
              <w:rPr>
                <w:b w:val="0"/>
                <w:color w:val="33414F"/>
                <w:sz w:val="18"/>
              </w:rPr>
              <w:t xml:space="preserve">Predictive mindset</w:t>
            </w:r>
          </w:p>
        </w:tc>
        <w:tc>
          <w:tcPr>
            <w:tcW w:w="5800" w:type="dxa"/>
            <w:tcMar>
              <w:top w:w="45" w:type="dxa"/>
              <w:left w:w="85" w:type="dxa"/>
              <w:bottom w:w="45" w:type="dxa"/>
              <w:right w:w="85" w:type="dxa"/>
            </w:tcMar>
          </w:tcPr>
          <w:p>
            <w:pPr>
              <w:spacing w:after="0" w:before="0"/>
            </w:pPr>
            <w:r>
              <w:rPr>
                <w:b w:val="0"/>
                <w:color w:val="33414F"/>
                <w:sz w:val="18"/>
              </w:rPr>
              <w:t xml:space="preserve">Failure-zone detection and anticipation across integrations, not after-the-fact alerts</w:t>
            </w:r>
          </w:p>
        </w:tc>
      </w:tr>
      <w:tr>
        <w:tc>
          <w:tcPr>
            <w:tcW w:w="3000" w:type="dxa"/>
            <w:tcMar>
              <w:top w:w="45" w:type="dxa"/>
              <w:left w:w="85" w:type="dxa"/>
              <w:bottom w:w="45" w:type="dxa"/>
              <w:right w:w="85" w:type="dxa"/>
            </w:tcMar>
          </w:tcPr>
          <w:p>
            <w:pPr>
              <w:spacing w:after="0" w:before="0"/>
            </w:pPr>
            <w:r>
              <w:rPr>
                <w:b w:val="0"/>
                <w:color w:val="33414F"/>
                <w:sz w:val="18"/>
              </w:rPr>
              <w:t xml:space="preserve">Real-time logs &amp; notifications</w:t>
            </w:r>
          </w:p>
        </w:tc>
        <w:tc>
          <w:tcPr>
            <w:tcW w:w="5800" w:type="dxa"/>
            <w:tcMar>
              <w:top w:w="45" w:type="dxa"/>
              <w:left w:w="85" w:type="dxa"/>
              <w:bottom w:w="45" w:type="dxa"/>
              <w:right w:w="85" w:type="dxa"/>
            </w:tcMar>
          </w:tcPr>
          <w:p>
            <w:pPr>
              <w:spacing w:after="0" w:before="0"/>
            </w:pPr>
            <w:r>
              <w:rPr>
                <w:b w:val="0"/>
                <w:color w:val="33414F"/>
                <w:sz w:val="18"/>
              </w:rPr>
              <w:t xml:space="preserve">Every routed request evidenced — the SOP’s "log" step becomes automatic</w:t>
            </w:r>
          </w:p>
        </w:tc>
      </w:tr>
      <w:tr>
        <w:tc>
          <w:tcPr>
            <w:tcW w:w="3000" w:type="dxa"/>
            <w:tcMar>
              <w:top w:w="45" w:type="dxa"/>
              <w:left w:w="85" w:type="dxa"/>
              <w:bottom w:w="45" w:type="dxa"/>
              <w:right w:w="85" w:type="dxa"/>
            </w:tcMar>
          </w:tcPr>
          <w:p>
            <w:pPr>
              <w:spacing w:after="0" w:before="0"/>
            </w:pPr>
            <w:r>
              <w:rPr>
                <w:b w:val="0"/>
                <w:color w:val="33414F"/>
                <w:sz w:val="18"/>
              </w:rPr>
              <w:t xml:space="preserve">Staff alignment</w:t>
            </w:r>
          </w:p>
        </w:tc>
        <w:tc>
          <w:tcPr>
            <w:tcW w:w="5800" w:type="dxa"/>
            <w:tcMar>
              <w:top w:w="45" w:type="dxa"/>
              <w:left w:w="85" w:type="dxa"/>
              <w:bottom w:w="45" w:type="dxa"/>
              <w:right w:w="85" w:type="dxa"/>
            </w:tcMar>
          </w:tcPr>
          <w:p>
            <w:pPr>
              <w:spacing w:after="0" w:before="0"/>
            </w:pPr>
            <w:r>
              <w:rPr>
                <w:b w:val="0"/>
                <w:color w:val="33414F"/>
                <w:sz w:val="18"/>
              </w:rPr>
              <w:t xml:space="preserve">Role-scoped access through one identity; JML (F-03) enforced at the layer</w:t>
            </w:r>
          </w:p>
        </w:tc>
      </w:tr>
      <w:tr>
        <w:tc>
          <w:tcPr>
            <w:tcW w:w="3000" w:type="dxa"/>
            <w:tcMar>
              <w:top w:w="45" w:type="dxa"/>
              <w:left w:w="85" w:type="dxa"/>
              <w:bottom w:w="45" w:type="dxa"/>
              <w:right w:w="85" w:type="dxa"/>
            </w:tcMar>
          </w:tcPr>
          <w:p>
            <w:pPr>
              <w:spacing w:after="0" w:before="0"/>
            </w:pPr>
            <w:r>
              <w:rPr>
                <w:b w:val="0"/>
                <w:color w:val="33414F"/>
                <w:sz w:val="18"/>
              </w:rPr>
              <w:t xml:space="preserve">ISO alerts &amp; checklists</w:t>
            </w:r>
          </w:p>
        </w:tc>
        <w:tc>
          <w:tcPr>
            <w:tcW w:w="5800" w:type="dxa"/>
            <w:tcMar>
              <w:top w:w="45" w:type="dxa"/>
              <w:left w:w="85" w:type="dxa"/>
              <w:bottom w:w="45" w:type="dxa"/>
              <w:right w:w="85" w:type="dxa"/>
            </w:tcMar>
          </w:tcPr>
          <w:p>
            <w:pPr>
              <w:spacing w:after="0" w:before="0"/>
            </w:pPr>
            <w:r>
              <w:rPr>
                <w:b w:val="0"/>
                <w:color w:val="33414F"/>
                <w:sz w:val="18"/>
              </w:rPr>
              <w:t xml:space="preserve">Control drift surfaced against ISO 27001 / CIS v8 baselines continuously</w:t>
            </w:r>
          </w:p>
        </w:tc>
      </w:tr>
      <w:tr>
        <w:tc>
          <w:tcPr>
            <w:tcW w:w="3000" w:type="dxa"/>
            <w:tcMar>
              <w:top w:w="45" w:type="dxa"/>
              <w:left w:w="85" w:type="dxa"/>
              <w:bottom w:w="45" w:type="dxa"/>
              <w:right w:w="85" w:type="dxa"/>
            </w:tcMar>
          </w:tcPr>
          <w:p>
            <w:pPr>
              <w:spacing w:after="0" w:before="0"/>
            </w:pPr>
            <w:r>
              <w:rPr>
                <w:b w:val="0"/>
                <w:color w:val="33414F"/>
                <w:sz w:val="18"/>
              </w:rPr>
              <w:t xml:space="preserve">POPIA at the routing layer</w:t>
            </w:r>
          </w:p>
        </w:tc>
        <w:tc>
          <w:tcPr>
            <w:tcW w:w="5800" w:type="dxa"/>
            <w:tcMar>
              <w:top w:w="45" w:type="dxa"/>
              <w:left w:w="85" w:type="dxa"/>
              <w:bottom w:w="45" w:type="dxa"/>
              <w:right w:w="85" w:type="dxa"/>
            </w:tcMar>
          </w:tcPr>
          <w:p>
            <w:pPr>
              <w:spacing w:after="0" w:before="0"/>
            </w:pPr>
            <w:r>
              <w:rPr>
                <w:b w:val="0"/>
                <w:color w:val="33414F"/>
                <w:sz w:val="18"/>
              </w:rPr>
              <w:t xml:space="preserve">Residency, minimisation and special-PI rules applied before data moves</w:t>
            </w:r>
          </w:p>
        </w:tc>
      </w:tr>
      <w:tr>
        <w:tc>
          <w:tcPr>
            <w:tcW w:w="3000" w:type="dxa"/>
            <w:tcMar>
              <w:top w:w="45" w:type="dxa"/>
              <w:left w:w="85" w:type="dxa"/>
              <w:bottom w:w="45" w:type="dxa"/>
              <w:right w:w="85" w:type="dxa"/>
            </w:tcMar>
          </w:tcPr>
          <w:p>
            <w:pPr>
              <w:spacing w:after="0" w:before="0"/>
            </w:pPr>
            <w:r>
              <w:rPr>
                <w:b w:val="0"/>
                <w:color w:val="33414F"/>
                <w:sz w:val="18"/>
              </w:rPr>
              <w:t xml:space="preserve">Edge-AI hardware path</w:t>
            </w:r>
          </w:p>
        </w:tc>
        <w:tc>
          <w:tcPr>
            <w:tcW w:w="5800" w:type="dxa"/>
            <w:tcMar>
              <w:top w:w="45" w:type="dxa"/>
              <w:left w:w="85" w:type="dxa"/>
              <w:bottom w:w="45" w:type="dxa"/>
              <w:right w:w="85" w:type="dxa"/>
            </w:tcMar>
          </w:tcPr>
          <w:p>
            <w:pPr>
              <w:spacing w:after="0" w:before="0"/>
            </w:pPr>
            <w:r>
              <w:rPr>
                <w:b w:val="0"/>
                <w:color w:val="33414F"/>
                <w:sz w:val="18"/>
              </w:rPr>
              <w:t xml:space="preserve">AI-M intelligent motherboard (5V/20W, Q2-2026 line) extends DOME to clinics offline-first</w:t>
            </w:r>
          </w:p>
        </w:tc>
      </w:tr>
    </w:tbl>
    <w:p>
      <w:pPr>
        <w:spacing w:after="80"/>
      </w:pPr>
    </w:p>
    <w:p>
      <w:pPr>
        <w:spacing w:after="80"/>
        <w:ind w:left="360"/>
      </w:pPr>
      <w:r>
        <w:rPr>
          <w:rtl w:val="0"/>
          <w:b/>
          <w:color w:val="0D2137"/>
        </w:rPr>
        <w:t xml:space="preserve">SOP → DOME (the alignment Exco should see): </w:t>
      </w:r>
      <w:r>
        <w:rPr>
          <w:rtl w:val="0"/>
        </w:rPr>
        <w:t xml:space="preserve">the SOP loop in Section 12 is run by people and evidenced weekly by IA·MCP. DOME is the same loop institutionalised in the architecture — intake, assessment, approval, logging and audit executed at the routing layer. SOP first proves the discipline; DOME then makes it structural. That is why Pathway E is labelled the natural end-state, and why choosing DOME is choosing the backbone, not an add-on.</w:t>
      </w:r>
    </w:p>
    <w:p>
      <w:pPr>
        <w:spacing w:after="80"/>
        <w:ind w:left="360"/>
      </w:pPr>
      <w:r>
        <w:rPr>
          <w:rtl w:val="0"/>
          <w:b/>
          <w:color w:val="0D2137"/>
        </w:rPr>
        <w:t xml:space="preserve">If DOME is chosen: </w:t>
      </w:r>
      <w:r>
        <w:rPr>
          <w:rtl w:val="0"/>
        </w:rPr>
        <w:t xml:space="preserve">Workstream E graduates from scoping to build; the Fabric lakehouse and NACOSA dashboards remain unchanged underneath; the cluster (Path A hardware) becomes DOME’s sovereign footing; commercials follow the pack.</w:t>
      </w:r>
    </w:p>
    <w:p>
      <w:r>
        <w:br w:type="page"/>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7. Systems Inventory &amp; Disposition — the 21 Systems</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authoritative inventory is SHOUT-IT-NOW’s System Assessment workbook (April 2026 update; 19–21 systems across versions — the 21-system view is used here). Six systems carry special personal information: SMART 2, SNowI 2, Chomi, MojaMind, iShout and ShoutLink.</w:t>
      </w:r>
    </w:p>
    <w:p>
      <w:pPr>
        <w:spacing w:before="80" w:after="120"/>
        <w:jc w:val="center"/>
      </w:pPr>
      <w:r>
        <w:drawing>
          <wp:inline xmlns:wp="http://schemas.openxmlformats.org/drawingml/2006/wordprocessingDrawing" distT="0" distB="0" distL="0" distR="0">
            <wp:extent cx="5852160" cy="4027460"/>
            <wp:effectExtent l="0" t="0" r="0" b="0"/>
            <wp:docPr id="210" name="Current-state architecture — client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Current-state architecture — client record"/>
                    <pic:cNvPicPr/>
                  </pic:nvPicPr>
                  <pic:blipFill>
                    <a:blip r:embed="rIdD10"/>
                    <a:stretch>
                      <a:fillRect/>
                    </a:stretch>
                  </pic:blipFill>
                  <pic:spPr>
                    <a:xfrm>
                      <a:off x="0" y="0"/>
                      <a:ext cx="5852160" cy="4027460"/>
                    </a:xfrm>
                    <a:prstGeom prst="rect">
                      <a:avLst/>
                    </a:prstGeom>
                  </pic:spPr>
                </pic:pic>
              </a:graphicData>
            </a:graphic>
          </wp:inline>
        </w:drawing>
      </w:r>
    </w:p>
    <w:p>
      <w:pPr>
        <w:spacing w:after="80"/>
        <w:ind w:left="360"/>
      </w:pPr>
      <w:r>
        <w:rPr>
          <w:rtl w:val="0"/>
          <w:b/>
          <w:color w:val="0D2137"/>
        </w:rPr>
        <w:t xml:space="preserve">Figure — the estate as recorded: </w:t>
      </w:r>
      <w:r>
        <w:rPr>
          <w:rtl w:val="0"/>
        </w:rPr>
        <w:t xml:space="preserve">SHOUT-IT-NOW’s own architecture sketch from the IONITY System Assessment pack (Neetin’s workbook set). Every consolidation move below starts from this picture — the audit changed nothing without first recording what is.</w:t>
      </w: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7.1 Internal systems (8)</w:t>
      </w:r>
    </w:p>
    <w:tbl>
      <w:tblPr>
        <w:tblW w:w="95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500"/>
        <w:gridCol w:w="2600"/>
        <w:gridCol w:w="1500"/>
        <w:gridCol w:w="2900"/>
      </w:tblGrid>
      <w:tr>
        <w:tc>
          <w:tcPr>
            <w:tcW w:w="2500" w:type="dxa"/>
            <w:shd w:val="clear" w:color="auto" w:fill="0D2137"/>
            <w:tcMar>
              <w:top w:w="45" w:type="dxa"/>
              <w:left w:w="85" w:type="dxa"/>
              <w:bottom w:w="45" w:type="dxa"/>
              <w:right w:w="85" w:type="dxa"/>
            </w:tcMar>
          </w:tcPr>
          <w:p>
            <w:pPr>
              <w:spacing w:after="0" w:before="0"/>
            </w:pPr>
            <w:r>
              <w:rPr>
                <w:b/>
                <w:color w:val="FFFFFF"/>
                <w:sz w:val="18"/>
              </w:rPr>
              <w:t xml:space="preserve">System</w:t>
            </w:r>
          </w:p>
        </w:tc>
        <w:tc>
          <w:tcPr>
            <w:tcW w:w="2600" w:type="dxa"/>
            <w:shd w:val="clear" w:color="auto" w:fill="0D2137"/>
            <w:tcMar>
              <w:top w:w="45" w:type="dxa"/>
              <w:left w:w="85" w:type="dxa"/>
              <w:bottom w:w="45" w:type="dxa"/>
              <w:right w:w="85" w:type="dxa"/>
            </w:tcMar>
          </w:tcPr>
          <w:p>
            <w:pPr>
              <w:spacing w:after="0" w:before="0"/>
            </w:pPr>
            <w:r>
              <w:rPr>
                <w:b/>
                <w:color w:val="FFFFFF"/>
                <w:sz w:val="18"/>
              </w:rPr>
              <w:t xml:space="preserve">Role</w:t>
            </w:r>
          </w:p>
        </w:tc>
        <w:tc>
          <w:tcPr>
            <w:tcW w:w="1500" w:type="dxa"/>
            <w:shd w:val="clear" w:color="auto" w:fill="0D2137"/>
            <w:tcMar>
              <w:top w:w="45" w:type="dxa"/>
              <w:left w:w="85" w:type="dxa"/>
              <w:bottom w:w="45" w:type="dxa"/>
              <w:right w:w="85" w:type="dxa"/>
            </w:tcMar>
          </w:tcPr>
          <w:p>
            <w:pPr>
              <w:spacing w:after="0" w:before="0"/>
            </w:pPr>
            <w:r>
              <w:rPr>
                <w:b/>
                <w:color w:val="FFFFFF"/>
                <w:sz w:val="18"/>
              </w:rPr>
              <w:t xml:space="preserve">Status</w:t>
            </w:r>
          </w:p>
        </w:tc>
        <w:tc>
          <w:tcPr>
            <w:tcW w:w="2900" w:type="dxa"/>
            <w:shd w:val="clear" w:color="auto" w:fill="0D2137"/>
            <w:tcMar>
              <w:top w:w="45" w:type="dxa"/>
              <w:left w:w="85" w:type="dxa"/>
              <w:bottom w:w="45" w:type="dxa"/>
              <w:right w:w="85" w:type="dxa"/>
            </w:tcMar>
          </w:tcPr>
          <w:p>
            <w:pPr>
              <w:spacing w:after="0" w:before="0"/>
            </w:pPr>
            <w:r>
              <w:rPr>
                <w:b/>
                <w:color w:val="FFFFFF"/>
                <w:sz w:val="18"/>
              </w:rPr>
              <w:t xml:space="preserve">Disposition</w:t>
            </w:r>
          </w:p>
        </w:tc>
      </w:tr>
      <w:tr>
        <w:tc>
          <w:tcPr>
            <w:tcW w:w="2500" w:type="dxa"/>
            <w:tcMar>
              <w:top w:w="45" w:type="dxa"/>
              <w:left w:w="85" w:type="dxa"/>
              <w:bottom w:w="45" w:type="dxa"/>
              <w:right w:w="85" w:type="dxa"/>
            </w:tcMar>
          </w:tcPr>
          <w:p>
            <w:pPr>
              <w:spacing w:after="0" w:before="0"/>
            </w:pPr>
            <w:r>
              <w:rPr>
                <w:b w:val="0"/>
                <w:color w:val="33414F"/>
                <w:sz w:val="18"/>
              </w:rPr>
              <w:t xml:space="preserve">DataWareHouse</w:t>
            </w:r>
          </w:p>
        </w:tc>
        <w:tc>
          <w:tcPr>
            <w:tcW w:w="2600" w:type="dxa"/>
            <w:tcMar>
              <w:top w:w="45" w:type="dxa"/>
              <w:left w:w="85" w:type="dxa"/>
              <w:bottom w:w="45" w:type="dxa"/>
              <w:right w:w="85" w:type="dxa"/>
            </w:tcMar>
          </w:tcPr>
          <w:p>
            <w:pPr>
              <w:spacing w:after="0" w:before="0"/>
            </w:pPr>
            <w:r>
              <w:rPr>
                <w:b w:val="0"/>
                <w:color w:val="33414F"/>
                <w:sz w:val="18"/>
              </w:rPr>
              <w:t xml:space="preserve">central reporting store</w:t>
            </w:r>
          </w:p>
        </w:tc>
        <w:tc>
          <w:tcPr>
            <w:tcW w:w="1500" w:type="dxa"/>
            <w:tcMar>
              <w:top w:w="45" w:type="dxa"/>
              <w:left w:w="85" w:type="dxa"/>
              <w:bottom w:w="45" w:type="dxa"/>
              <w:right w:w="85" w:type="dxa"/>
            </w:tcMar>
          </w:tcPr>
          <w:p>
            <w:pPr>
              <w:spacing w:after="0" w:before="0"/>
            </w:pPr>
            <w:r>
              <w:rPr>
                <w:b w:val="0"/>
                <w:color w:val="33414F"/>
                <w:sz w:val="18"/>
              </w:rPr>
              <w:t xml:space="preserve">Being disabled</w:t>
            </w:r>
          </w:p>
        </w:tc>
        <w:tc>
          <w:tcPr>
            <w:tcW w:w="2900" w:type="dxa"/>
            <w:tcMar>
              <w:top w:w="45" w:type="dxa"/>
              <w:left w:w="85" w:type="dxa"/>
              <w:bottom w:w="45" w:type="dxa"/>
              <w:right w:w="85" w:type="dxa"/>
            </w:tcMar>
          </w:tcPr>
          <w:p>
            <w:pPr>
              <w:spacing w:after="0" w:before="0"/>
            </w:pPr>
            <w:r>
              <w:rPr>
                <w:b w:val="0"/>
                <w:color w:val="33414F"/>
                <w:sz w:val="18"/>
              </w:rPr>
              <w:t xml:space="preserve">Retire → Fabric lakehouse (Dome path)</w:t>
            </w:r>
          </w:p>
        </w:tc>
      </w:tr>
      <w:tr>
        <w:tc>
          <w:tcPr>
            <w:tcW w:w="2500" w:type="dxa"/>
            <w:tcMar>
              <w:top w:w="45" w:type="dxa"/>
              <w:left w:w="85" w:type="dxa"/>
              <w:bottom w:w="45" w:type="dxa"/>
              <w:right w:w="85" w:type="dxa"/>
            </w:tcMar>
          </w:tcPr>
          <w:p>
            <w:pPr>
              <w:spacing w:after="0" w:before="0"/>
            </w:pPr>
            <w:r>
              <w:rPr>
                <w:b w:val="0"/>
                <w:color w:val="33414F"/>
                <w:sz w:val="18"/>
              </w:rPr>
              <w:t xml:space="preserve">Sage Evolution</w:t>
            </w:r>
          </w:p>
        </w:tc>
        <w:tc>
          <w:tcPr>
            <w:tcW w:w="2600" w:type="dxa"/>
            <w:tcMar>
              <w:top w:w="45" w:type="dxa"/>
              <w:left w:w="85" w:type="dxa"/>
              <w:bottom w:w="45" w:type="dxa"/>
              <w:right w:w="85" w:type="dxa"/>
            </w:tcMar>
          </w:tcPr>
          <w:p>
            <w:pPr>
              <w:spacing w:after="0" w:before="0"/>
            </w:pPr>
            <w:r>
              <w:rPr>
                <w:b w:val="0"/>
                <w:color w:val="33414F"/>
                <w:sz w:val="18"/>
              </w:rPr>
              <w:t xml:space="preserve">finance/accounting</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900" w:type="dxa"/>
            <w:tcMar>
              <w:top w:w="45" w:type="dxa"/>
              <w:left w:w="85" w:type="dxa"/>
              <w:bottom w:w="45" w:type="dxa"/>
              <w:right w:w="85" w:type="dxa"/>
            </w:tcMar>
          </w:tcPr>
          <w:p>
            <w:pPr>
              <w:spacing w:after="0" w:before="0"/>
            </w:pPr>
            <w:r>
              <w:rPr>
                <w:b w:val="0"/>
                <w:color w:val="33414F"/>
                <w:sz w:val="18"/>
              </w:rPr>
              <w:t xml:space="preserve">Consolidate into single ERP route (F-05)</w:t>
            </w:r>
          </w:p>
        </w:tc>
      </w:tr>
      <w:tr>
        <w:tc>
          <w:tcPr>
            <w:tcW w:w="2500" w:type="dxa"/>
            <w:tcMar>
              <w:top w:w="45" w:type="dxa"/>
              <w:left w:w="85" w:type="dxa"/>
              <w:bottom w:w="45" w:type="dxa"/>
              <w:right w:w="85" w:type="dxa"/>
            </w:tcMar>
          </w:tcPr>
          <w:p>
            <w:pPr>
              <w:spacing w:after="0" w:before="0"/>
            </w:pPr>
            <w:r>
              <w:rPr>
                <w:b w:val="0"/>
                <w:color w:val="33414F"/>
                <w:sz w:val="18"/>
              </w:rPr>
              <w:t xml:space="preserve">Fusion (Neurasoft)</w:t>
            </w:r>
          </w:p>
        </w:tc>
        <w:tc>
          <w:tcPr>
            <w:tcW w:w="2600" w:type="dxa"/>
            <w:tcMar>
              <w:top w:w="45" w:type="dxa"/>
              <w:left w:w="85" w:type="dxa"/>
              <w:bottom w:w="45" w:type="dxa"/>
              <w:right w:w="85" w:type="dxa"/>
            </w:tcMar>
          </w:tcPr>
          <w:p>
            <w:pPr>
              <w:spacing w:after="0" w:before="0"/>
            </w:pPr>
            <w:r>
              <w:rPr>
                <w:b w:val="0"/>
                <w:color w:val="33414F"/>
                <w:sz w:val="18"/>
              </w:rPr>
              <w:t xml:space="preserve">finance/operations</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900" w:type="dxa"/>
            <w:tcMar>
              <w:top w:w="45" w:type="dxa"/>
              <w:left w:w="85" w:type="dxa"/>
              <w:bottom w:w="45" w:type="dxa"/>
              <w:right w:w="85" w:type="dxa"/>
            </w:tcMar>
          </w:tcPr>
          <w:p>
            <w:pPr>
              <w:spacing w:after="0" w:before="0"/>
            </w:pPr>
            <w:r>
              <w:rPr>
                <w:b w:val="0"/>
                <w:color w:val="33414F"/>
                <w:sz w:val="18"/>
              </w:rPr>
              <w:t xml:space="preserve">Consolidate into ERP route (F-05)</w:t>
            </w:r>
          </w:p>
        </w:tc>
      </w:tr>
      <w:tr>
        <w:tc>
          <w:tcPr>
            <w:tcW w:w="2500" w:type="dxa"/>
            <w:tcMar>
              <w:top w:w="45" w:type="dxa"/>
              <w:left w:w="85" w:type="dxa"/>
              <w:bottom w:w="45" w:type="dxa"/>
              <w:right w:w="85" w:type="dxa"/>
            </w:tcMar>
          </w:tcPr>
          <w:p>
            <w:pPr>
              <w:spacing w:after="0" w:before="0"/>
            </w:pPr>
            <w:r>
              <w:rPr>
                <w:b w:val="0"/>
                <w:color w:val="33414F"/>
                <w:sz w:val="18"/>
              </w:rPr>
              <w:t xml:space="preserve">CaseWare</w:t>
            </w:r>
          </w:p>
        </w:tc>
        <w:tc>
          <w:tcPr>
            <w:tcW w:w="2600" w:type="dxa"/>
            <w:tcMar>
              <w:top w:w="45" w:type="dxa"/>
              <w:left w:w="85" w:type="dxa"/>
              <w:bottom w:w="45" w:type="dxa"/>
              <w:right w:w="85" w:type="dxa"/>
            </w:tcMar>
          </w:tcPr>
          <w:p>
            <w:pPr>
              <w:spacing w:after="0" w:before="0"/>
            </w:pPr>
            <w:r>
              <w:rPr>
                <w:b w:val="0"/>
                <w:color w:val="33414F"/>
                <w:sz w:val="18"/>
              </w:rPr>
              <w:t xml:space="preserve">financial reporting</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900" w:type="dxa"/>
            <w:tcMar>
              <w:top w:w="45" w:type="dxa"/>
              <w:left w:w="85" w:type="dxa"/>
              <w:bottom w:w="45" w:type="dxa"/>
              <w:right w:w="85" w:type="dxa"/>
            </w:tcMar>
          </w:tcPr>
          <w:p>
            <w:pPr>
              <w:spacing w:after="0" w:before="0"/>
            </w:pPr>
            <w:r>
              <w:rPr>
                <w:b w:val="0"/>
                <w:color w:val="33414F"/>
                <w:sz w:val="18"/>
              </w:rPr>
              <w:t xml:space="preserve">Consolidate or integrate with ERP route</w:t>
            </w:r>
          </w:p>
        </w:tc>
      </w:tr>
      <w:tr>
        <w:tc>
          <w:tcPr>
            <w:tcW w:w="2500" w:type="dxa"/>
            <w:tcMar>
              <w:top w:w="45" w:type="dxa"/>
              <w:left w:w="85" w:type="dxa"/>
              <w:bottom w:w="45" w:type="dxa"/>
              <w:right w:w="85" w:type="dxa"/>
            </w:tcMar>
          </w:tcPr>
          <w:p>
            <w:pPr>
              <w:spacing w:after="0" w:before="0"/>
            </w:pPr>
            <w:r>
              <w:rPr>
                <w:b w:val="0"/>
                <w:color w:val="33414F"/>
                <w:sz w:val="18"/>
              </w:rPr>
              <w:t xml:space="preserve">BioSyn Time &amp; Attendance</w:t>
            </w:r>
          </w:p>
        </w:tc>
        <w:tc>
          <w:tcPr>
            <w:tcW w:w="2600" w:type="dxa"/>
            <w:tcMar>
              <w:top w:w="45" w:type="dxa"/>
              <w:left w:w="85" w:type="dxa"/>
              <w:bottom w:w="45" w:type="dxa"/>
              <w:right w:w="85" w:type="dxa"/>
            </w:tcMar>
          </w:tcPr>
          <w:p>
            <w:pPr>
              <w:spacing w:after="0" w:before="0"/>
            </w:pPr>
            <w:r>
              <w:rPr>
                <w:b w:val="0"/>
                <w:color w:val="33414F"/>
                <w:sz w:val="18"/>
              </w:rPr>
              <w:t xml:space="preserve">T&amp;A capture</w:t>
            </w:r>
          </w:p>
        </w:tc>
        <w:tc>
          <w:tcPr>
            <w:tcW w:w="1500" w:type="dxa"/>
            <w:tcMar>
              <w:top w:w="45" w:type="dxa"/>
              <w:left w:w="85" w:type="dxa"/>
              <w:bottom w:w="45" w:type="dxa"/>
              <w:right w:w="85" w:type="dxa"/>
            </w:tcMar>
          </w:tcPr>
          <w:p>
            <w:pPr>
              <w:spacing w:after="0" w:before="0"/>
            </w:pPr>
            <w:r>
              <w:rPr>
                <w:b w:val="0"/>
                <w:color w:val="33414F"/>
                <w:sz w:val="18"/>
              </w:rPr>
              <w:t xml:space="preserve">In development</w:t>
            </w:r>
          </w:p>
        </w:tc>
        <w:tc>
          <w:tcPr>
            <w:tcW w:w="2900" w:type="dxa"/>
            <w:tcMar>
              <w:top w:w="45" w:type="dxa"/>
              <w:left w:w="85" w:type="dxa"/>
              <w:bottom w:w="45" w:type="dxa"/>
              <w:right w:w="85" w:type="dxa"/>
            </w:tcMar>
          </w:tcPr>
          <w:p>
            <w:pPr>
              <w:spacing w:after="0" w:before="0"/>
            </w:pPr>
            <w:r>
              <w:rPr>
                <w:b w:val="0"/>
                <w:color w:val="33414F"/>
                <w:sz w:val="18"/>
              </w:rPr>
              <w:t xml:space="preserve">Keep; API integration to ERP to confirm</w:t>
            </w:r>
          </w:p>
        </w:tc>
      </w:tr>
      <w:tr>
        <w:tc>
          <w:tcPr>
            <w:tcW w:w="2500" w:type="dxa"/>
            <w:tcMar>
              <w:top w:w="45" w:type="dxa"/>
              <w:left w:w="85" w:type="dxa"/>
              <w:bottom w:w="45" w:type="dxa"/>
              <w:right w:w="85" w:type="dxa"/>
            </w:tcMar>
          </w:tcPr>
          <w:p>
            <w:pPr>
              <w:spacing w:after="0" w:before="0"/>
            </w:pPr>
            <w:r>
              <w:rPr>
                <w:b w:val="0"/>
                <w:color w:val="33414F"/>
                <w:sz w:val="18"/>
              </w:rPr>
              <w:t xml:space="preserve">S-Cube</w:t>
            </w:r>
          </w:p>
        </w:tc>
        <w:tc>
          <w:tcPr>
            <w:tcW w:w="2600" w:type="dxa"/>
            <w:tcMar>
              <w:top w:w="45" w:type="dxa"/>
              <w:left w:w="85" w:type="dxa"/>
              <w:bottom w:w="45" w:type="dxa"/>
              <w:right w:w="85" w:type="dxa"/>
            </w:tcMar>
          </w:tcPr>
          <w:p>
            <w:pPr>
              <w:spacing w:after="0" w:before="0"/>
            </w:pPr>
            <w:r>
              <w:rPr>
                <w:b w:val="0"/>
                <w:color w:val="33414F"/>
                <w:sz w:val="18"/>
              </w:rPr>
              <w:t xml:space="preserve">payroll &amp; T&amp;A (critical)</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900" w:type="dxa"/>
            <w:tcMar>
              <w:top w:w="45" w:type="dxa"/>
              <w:left w:w="85" w:type="dxa"/>
              <w:bottom w:w="45" w:type="dxa"/>
              <w:right w:w="85" w:type="dxa"/>
            </w:tcMar>
          </w:tcPr>
          <w:p>
            <w:pPr>
              <w:spacing w:after="0" w:before="0"/>
            </w:pPr>
            <w:r>
              <w:rPr>
                <w:b w:val="0"/>
                <w:color w:val="33414F"/>
                <w:sz w:val="18"/>
              </w:rPr>
              <w:t xml:space="preserve">Consolidate → Sage X3 People path</w:t>
            </w:r>
          </w:p>
        </w:tc>
      </w:tr>
      <w:tr>
        <w:tc>
          <w:tcPr>
            <w:tcW w:w="2500" w:type="dxa"/>
            <w:tcMar>
              <w:top w:w="45" w:type="dxa"/>
              <w:left w:w="85" w:type="dxa"/>
              <w:bottom w:w="45" w:type="dxa"/>
              <w:right w:w="85" w:type="dxa"/>
            </w:tcMar>
          </w:tcPr>
          <w:p>
            <w:pPr>
              <w:spacing w:after="0" w:before="0"/>
            </w:pPr>
            <w:r>
              <w:rPr>
                <w:b w:val="0"/>
                <w:color w:val="33414F"/>
                <w:sz w:val="18"/>
              </w:rPr>
              <w:t xml:space="preserve">SSRS</w:t>
            </w:r>
          </w:p>
        </w:tc>
        <w:tc>
          <w:tcPr>
            <w:tcW w:w="2600" w:type="dxa"/>
            <w:tcMar>
              <w:top w:w="45" w:type="dxa"/>
              <w:left w:w="85" w:type="dxa"/>
              <w:bottom w:w="45" w:type="dxa"/>
              <w:right w:w="85" w:type="dxa"/>
            </w:tcMar>
          </w:tcPr>
          <w:p>
            <w:pPr>
              <w:spacing w:after="0" w:before="0"/>
            </w:pPr>
            <w:r>
              <w:rPr>
                <w:b w:val="0"/>
                <w:color w:val="33414F"/>
                <w:sz w:val="18"/>
              </w:rPr>
              <w:t xml:space="preserve">reporting services</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900" w:type="dxa"/>
            <w:tcMar>
              <w:top w:w="45" w:type="dxa"/>
              <w:left w:w="85" w:type="dxa"/>
              <w:bottom w:w="45" w:type="dxa"/>
              <w:right w:w="85" w:type="dxa"/>
            </w:tcMar>
          </w:tcPr>
          <w:p>
            <w:pPr>
              <w:spacing w:after="0" w:before="0"/>
            </w:pPr>
            <w:r>
              <w:rPr>
                <w:b w:val="0"/>
                <w:color w:val="33414F"/>
                <w:sz w:val="18"/>
              </w:rPr>
              <w:t xml:space="preserve">Migrate reporting to Power BI over Gold layer</w:t>
            </w:r>
          </w:p>
        </w:tc>
      </w:tr>
      <w:tr>
        <w:tc>
          <w:tcPr>
            <w:tcW w:w="2500" w:type="dxa"/>
            <w:tcMar>
              <w:top w:w="45" w:type="dxa"/>
              <w:left w:w="85" w:type="dxa"/>
              <w:bottom w:w="45" w:type="dxa"/>
              <w:right w:w="85" w:type="dxa"/>
            </w:tcMar>
          </w:tcPr>
          <w:p>
            <w:pPr>
              <w:spacing w:after="0" w:before="0"/>
            </w:pPr>
            <w:r>
              <w:rPr>
                <w:b w:val="0"/>
                <w:color w:val="33414F"/>
                <w:sz w:val="18"/>
              </w:rPr>
              <w:t xml:space="preserve">Salesforce</w:t>
            </w:r>
          </w:p>
        </w:tc>
        <w:tc>
          <w:tcPr>
            <w:tcW w:w="2600" w:type="dxa"/>
            <w:tcMar>
              <w:top w:w="45" w:type="dxa"/>
              <w:left w:w="85" w:type="dxa"/>
              <w:bottom w:w="45" w:type="dxa"/>
              <w:right w:w="85" w:type="dxa"/>
            </w:tcMar>
          </w:tcPr>
          <w:p>
            <w:pPr>
              <w:spacing w:after="0" w:before="0"/>
            </w:pPr>
            <w:r>
              <w:rPr>
                <w:b w:val="0"/>
                <w:color w:val="33414F"/>
                <w:sz w:val="18"/>
              </w:rPr>
              <w:t xml:space="preserve">CRM</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900" w:type="dxa"/>
            <w:tcMar>
              <w:top w:w="45" w:type="dxa"/>
              <w:left w:w="85" w:type="dxa"/>
              <w:bottom w:w="45" w:type="dxa"/>
              <w:right w:w="85" w:type="dxa"/>
            </w:tcMar>
          </w:tcPr>
          <w:p>
            <w:pPr>
              <w:spacing w:after="0" w:before="0"/>
            </w:pPr>
            <w:r>
              <w:rPr>
                <w:b w:val="0"/>
                <w:color w:val="33414F"/>
                <w:sz w:val="18"/>
              </w:rPr>
              <w:t xml:space="preserve">Keep; native Fabric connector / mirroring</w:t>
            </w:r>
          </w:p>
        </w:tc>
      </w:tr>
    </w:tbl>
    <w:p>
      <w:pPr>
        <w:spacing w:after="80"/>
      </w:pP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7.2 External / client-facing systems (13)</w:t>
      </w:r>
    </w:p>
    <w:tbl>
      <w:tblPr>
        <w:tblW w:w="95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500"/>
        <w:gridCol w:w="2900"/>
        <w:gridCol w:w="1500"/>
        <w:gridCol w:w="2600"/>
      </w:tblGrid>
      <w:tr>
        <w:tc>
          <w:tcPr>
            <w:tcW w:w="2500" w:type="dxa"/>
            <w:shd w:val="clear" w:color="auto" w:fill="0D2137"/>
            <w:tcMar>
              <w:top w:w="45" w:type="dxa"/>
              <w:left w:w="85" w:type="dxa"/>
              <w:bottom w:w="45" w:type="dxa"/>
              <w:right w:w="85" w:type="dxa"/>
            </w:tcMar>
          </w:tcPr>
          <w:p>
            <w:pPr>
              <w:spacing w:after="0" w:before="0"/>
            </w:pPr>
            <w:r>
              <w:rPr>
                <w:b/>
                <w:color w:val="FFFFFF"/>
                <w:sz w:val="18"/>
              </w:rPr>
              <w:t xml:space="preserve">System</w:t>
            </w:r>
          </w:p>
        </w:tc>
        <w:tc>
          <w:tcPr>
            <w:tcW w:w="2900" w:type="dxa"/>
            <w:shd w:val="clear" w:color="auto" w:fill="0D2137"/>
            <w:tcMar>
              <w:top w:w="45" w:type="dxa"/>
              <w:left w:w="85" w:type="dxa"/>
              <w:bottom w:w="45" w:type="dxa"/>
              <w:right w:w="85" w:type="dxa"/>
            </w:tcMar>
          </w:tcPr>
          <w:p>
            <w:pPr>
              <w:spacing w:after="0" w:before="0"/>
            </w:pPr>
            <w:r>
              <w:rPr>
                <w:b/>
                <w:color w:val="FFFFFF"/>
                <w:sz w:val="18"/>
              </w:rPr>
              <w:t xml:space="preserve">Role</w:t>
            </w:r>
          </w:p>
        </w:tc>
        <w:tc>
          <w:tcPr>
            <w:tcW w:w="1500" w:type="dxa"/>
            <w:shd w:val="clear" w:color="auto" w:fill="0D2137"/>
            <w:tcMar>
              <w:top w:w="45" w:type="dxa"/>
              <w:left w:w="85" w:type="dxa"/>
              <w:bottom w:w="45" w:type="dxa"/>
              <w:right w:w="85" w:type="dxa"/>
            </w:tcMar>
          </w:tcPr>
          <w:p>
            <w:pPr>
              <w:spacing w:after="0" w:before="0"/>
            </w:pPr>
            <w:r>
              <w:rPr>
                <w:b/>
                <w:color w:val="FFFFFF"/>
                <w:sz w:val="18"/>
              </w:rPr>
              <w:t xml:space="preserve">Status</w:t>
            </w:r>
          </w:p>
        </w:tc>
        <w:tc>
          <w:tcPr>
            <w:tcW w:w="2600" w:type="dxa"/>
            <w:shd w:val="clear" w:color="auto" w:fill="0D2137"/>
            <w:tcMar>
              <w:top w:w="45" w:type="dxa"/>
              <w:left w:w="85" w:type="dxa"/>
              <w:bottom w:w="45" w:type="dxa"/>
              <w:right w:w="85" w:type="dxa"/>
            </w:tcMar>
          </w:tcPr>
          <w:p>
            <w:pPr>
              <w:spacing w:after="0" w:before="0"/>
            </w:pPr>
            <w:r>
              <w:rPr>
                <w:b/>
                <w:color w:val="FFFFFF"/>
                <w:sz w:val="18"/>
              </w:rPr>
              <w:t xml:space="preserve">Disposition</w:t>
            </w:r>
          </w:p>
        </w:tc>
      </w:tr>
      <w:tr>
        <w:tc>
          <w:tcPr>
            <w:tcW w:w="2500" w:type="dxa"/>
            <w:tcMar>
              <w:top w:w="45" w:type="dxa"/>
              <w:left w:w="85" w:type="dxa"/>
              <w:bottom w:w="45" w:type="dxa"/>
              <w:right w:w="85" w:type="dxa"/>
            </w:tcMar>
          </w:tcPr>
          <w:p>
            <w:pPr>
              <w:spacing w:after="0" w:before="0"/>
            </w:pPr>
            <w:r>
              <w:rPr>
                <w:b w:val="0"/>
                <w:color w:val="33414F"/>
                <w:sz w:val="18"/>
              </w:rPr>
              <w:t xml:space="preserve">SMART 2</w:t>
            </w:r>
          </w:p>
        </w:tc>
        <w:tc>
          <w:tcPr>
            <w:tcW w:w="2900" w:type="dxa"/>
            <w:tcMar>
              <w:top w:w="45" w:type="dxa"/>
              <w:left w:w="85" w:type="dxa"/>
              <w:bottom w:w="45" w:type="dxa"/>
              <w:right w:w="85" w:type="dxa"/>
            </w:tcMar>
          </w:tcPr>
          <w:p>
            <w:pPr>
              <w:spacing w:after="0" w:before="0"/>
            </w:pPr>
            <w:r>
              <w:rPr>
                <w:b w:val="0"/>
                <w:color w:val="33414F"/>
                <w:sz w:val="18"/>
              </w:rPr>
              <w:t xml:space="preserve">clinical hub — HIV/STI/TB/PrEP/GBV</w:t>
            </w:r>
          </w:p>
        </w:tc>
        <w:tc>
          <w:tcPr>
            <w:tcW w:w="1500" w:type="dxa"/>
            <w:tcMar>
              <w:top w:w="45" w:type="dxa"/>
              <w:left w:w="85" w:type="dxa"/>
              <w:bottom w:w="45" w:type="dxa"/>
              <w:right w:w="85" w:type="dxa"/>
            </w:tcMar>
          </w:tcPr>
          <w:p>
            <w:pPr>
              <w:spacing w:after="0" w:before="0"/>
            </w:pPr>
            <w:r>
              <w:rPr>
                <w:b w:val="0"/>
                <w:color w:val="33414F"/>
                <w:sz w:val="18"/>
              </w:rPr>
              <w:t xml:space="preserve">Active — special PI</w:t>
            </w:r>
          </w:p>
        </w:tc>
        <w:tc>
          <w:tcPr>
            <w:tcW w:w="2600" w:type="dxa"/>
            <w:tcMar>
              <w:top w:w="45" w:type="dxa"/>
              <w:left w:w="85" w:type="dxa"/>
              <w:bottom w:w="45" w:type="dxa"/>
              <w:right w:w="85" w:type="dxa"/>
            </w:tcMar>
          </w:tcPr>
          <w:p>
            <w:pPr>
              <w:spacing w:after="0" w:before="0"/>
            </w:pPr>
            <w:r>
              <w:rPr>
                <w:b w:val="0"/>
                <w:color w:val="33414F"/>
                <w:sz w:val="18"/>
              </w:rPr>
              <w:t xml:space="preserve">Keep — refresh .NET (F-06); host per chosen pathway; access logging per HPCSA</w:t>
            </w:r>
          </w:p>
        </w:tc>
      </w:tr>
      <w:tr>
        <w:tc>
          <w:tcPr>
            <w:tcW w:w="2500" w:type="dxa"/>
            <w:tcMar>
              <w:top w:w="45" w:type="dxa"/>
              <w:left w:w="85" w:type="dxa"/>
              <w:bottom w:w="45" w:type="dxa"/>
              <w:right w:w="85" w:type="dxa"/>
            </w:tcMar>
          </w:tcPr>
          <w:p>
            <w:pPr>
              <w:spacing w:after="0" w:before="0"/>
            </w:pPr>
            <w:r>
              <w:rPr>
                <w:b w:val="0"/>
                <w:color w:val="33414F"/>
                <w:sz w:val="18"/>
              </w:rPr>
              <w:t xml:space="preserve">SNowI 2</w:t>
            </w:r>
          </w:p>
        </w:tc>
        <w:tc>
          <w:tcPr>
            <w:tcW w:w="2900" w:type="dxa"/>
            <w:tcMar>
              <w:top w:w="45" w:type="dxa"/>
              <w:left w:w="85" w:type="dxa"/>
              <w:bottom w:w="45" w:type="dxa"/>
              <w:right w:w="85" w:type="dxa"/>
            </w:tcMar>
          </w:tcPr>
          <w:p>
            <w:pPr>
              <w:spacing w:after="0" w:before="0"/>
            </w:pPr>
            <w:r>
              <w:rPr>
                <w:b w:val="0"/>
                <w:color w:val="33414F"/>
                <w:sz w:val="18"/>
              </w:rPr>
              <w:t xml:space="preserve">biomedical referrals</w:t>
            </w:r>
          </w:p>
        </w:tc>
        <w:tc>
          <w:tcPr>
            <w:tcW w:w="1500" w:type="dxa"/>
            <w:tcMar>
              <w:top w:w="45" w:type="dxa"/>
              <w:left w:w="85" w:type="dxa"/>
              <w:bottom w:w="45" w:type="dxa"/>
              <w:right w:w="85" w:type="dxa"/>
            </w:tcMar>
          </w:tcPr>
          <w:p>
            <w:pPr>
              <w:spacing w:after="0" w:before="0"/>
            </w:pPr>
            <w:r>
              <w:rPr>
                <w:b w:val="0"/>
                <w:color w:val="33414F"/>
                <w:sz w:val="18"/>
              </w:rPr>
              <w:t xml:space="preserve">Active — special PI</w:t>
            </w:r>
          </w:p>
        </w:tc>
        <w:tc>
          <w:tcPr>
            <w:tcW w:w="2600" w:type="dxa"/>
            <w:tcMar>
              <w:top w:w="45" w:type="dxa"/>
              <w:left w:w="85" w:type="dxa"/>
              <w:bottom w:w="45" w:type="dxa"/>
              <w:right w:w="85" w:type="dxa"/>
            </w:tcMar>
          </w:tcPr>
          <w:p>
            <w:pPr>
              <w:spacing w:after="0" w:before="0"/>
            </w:pPr>
            <w:r>
              <w:rPr>
                <w:b w:val="0"/>
                <w:color w:val="33414F"/>
                <w:sz w:val="18"/>
              </w:rPr>
              <w:t xml:space="preserve">Keep — decouple direct SMART 2 DB read (F-07)</w:t>
            </w:r>
          </w:p>
        </w:tc>
      </w:tr>
      <w:tr>
        <w:tc>
          <w:tcPr>
            <w:tcW w:w="2500" w:type="dxa"/>
            <w:tcMar>
              <w:top w:w="45" w:type="dxa"/>
              <w:left w:w="85" w:type="dxa"/>
              <w:bottom w:w="45" w:type="dxa"/>
              <w:right w:w="85" w:type="dxa"/>
            </w:tcMar>
          </w:tcPr>
          <w:p>
            <w:pPr>
              <w:spacing w:after="0" w:before="0"/>
            </w:pPr>
            <w:r>
              <w:rPr>
                <w:b w:val="0"/>
                <w:color w:val="33414F"/>
                <w:sz w:val="18"/>
              </w:rPr>
              <w:t xml:space="preserve">Chomi</w:t>
            </w:r>
          </w:p>
        </w:tc>
        <w:tc>
          <w:tcPr>
            <w:tcW w:w="2900" w:type="dxa"/>
            <w:tcMar>
              <w:top w:w="45" w:type="dxa"/>
              <w:left w:w="85" w:type="dxa"/>
              <w:bottom w:w="45" w:type="dxa"/>
              <w:right w:w="85" w:type="dxa"/>
            </w:tcMar>
          </w:tcPr>
          <w:p>
            <w:pPr>
              <w:spacing w:after="0" w:before="0"/>
            </w:pPr>
            <w:r>
              <w:rPr>
                <w:b w:val="0"/>
                <w:color w:val="33414F"/>
                <w:sz w:val="18"/>
              </w:rPr>
              <w:t xml:space="preserve">GBV chatbot</w:t>
            </w:r>
          </w:p>
        </w:tc>
        <w:tc>
          <w:tcPr>
            <w:tcW w:w="1500" w:type="dxa"/>
            <w:tcMar>
              <w:top w:w="45" w:type="dxa"/>
              <w:left w:w="85" w:type="dxa"/>
              <w:bottom w:w="45" w:type="dxa"/>
              <w:right w:w="85" w:type="dxa"/>
            </w:tcMar>
          </w:tcPr>
          <w:p>
            <w:pPr>
              <w:spacing w:after="0" w:before="0"/>
            </w:pPr>
            <w:r>
              <w:rPr>
                <w:b w:val="0"/>
                <w:color w:val="33414F"/>
                <w:sz w:val="18"/>
              </w:rPr>
              <w:t xml:space="preserve">Active — special PI</w:t>
            </w:r>
          </w:p>
        </w:tc>
        <w:tc>
          <w:tcPr>
            <w:tcW w:w="2600" w:type="dxa"/>
            <w:tcMar>
              <w:top w:w="45" w:type="dxa"/>
              <w:left w:w="85" w:type="dxa"/>
              <w:bottom w:w="45" w:type="dxa"/>
              <w:right w:w="85" w:type="dxa"/>
            </w:tcMar>
          </w:tcPr>
          <w:p>
            <w:pPr>
              <w:spacing w:after="0" w:before="0"/>
            </w:pPr>
            <w:r>
              <w:rPr>
                <w:b w:val="0"/>
                <w:color w:val="33414F"/>
                <w:sz w:val="18"/>
              </w:rPr>
              <w:t xml:space="preserve">Evolve — Option C hybrid (WhatsApp + PWA); re-classify PII under POPIA §26</w:t>
            </w:r>
          </w:p>
        </w:tc>
      </w:tr>
      <w:tr>
        <w:tc>
          <w:tcPr>
            <w:tcW w:w="2500" w:type="dxa"/>
            <w:tcMar>
              <w:top w:w="45" w:type="dxa"/>
              <w:left w:w="85" w:type="dxa"/>
              <w:bottom w:w="45" w:type="dxa"/>
              <w:right w:w="85" w:type="dxa"/>
            </w:tcMar>
          </w:tcPr>
          <w:p>
            <w:pPr>
              <w:spacing w:after="0" w:before="0"/>
            </w:pPr>
            <w:r>
              <w:rPr>
                <w:b w:val="0"/>
                <w:color w:val="33414F"/>
                <w:sz w:val="18"/>
              </w:rPr>
              <w:t xml:space="preserve">WhatsApp Platform</w:t>
            </w:r>
          </w:p>
        </w:tc>
        <w:tc>
          <w:tcPr>
            <w:tcW w:w="2900" w:type="dxa"/>
            <w:tcMar>
              <w:top w:w="45" w:type="dxa"/>
              <w:left w:w="85" w:type="dxa"/>
              <w:bottom w:w="45" w:type="dxa"/>
              <w:right w:w="85" w:type="dxa"/>
            </w:tcMar>
          </w:tcPr>
          <w:p>
            <w:pPr>
              <w:spacing w:after="0" w:before="0"/>
            </w:pPr>
            <w:r>
              <w:rPr>
                <w:b w:val="0"/>
                <w:color w:val="33414F"/>
                <w:sz w:val="18"/>
              </w:rPr>
              <w:t xml:space="preserve">client messaging</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Keep — real-time Eventstream source</w:t>
            </w:r>
          </w:p>
        </w:tc>
      </w:tr>
      <w:tr>
        <w:tc>
          <w:tcPr>
            <w:tcW w:w="2500" w:type="dxa"/>
            <w:tcMar>
              <w:top w:w="45" w:type="dxa"/>
              <w:left w:w="85" w:type="dxa"/>
              <w:bottom w:w="45" w:type="dxa"/>
              <w:right w:w="85" w:type="dxa"/>
            </w:tcMar>
          </w:tcPr>
          <w:p>
            <w:pPr>
              <w:spacing w:after="0" w:before="0"/>
            </w:pPr>
            <w:r>
              <w:rPr>
                <w:b w:val="0"/>
                <w:color w:val="33414F"/>
                <w:sz w:val="18"/>
              </w:rPr>
              <w:t xml:space="preserve">iShout</w:t>
            </w:r>
          </w:p>
        </w:tc>
        <w:tc>
          <w:tcPr>
            <w:tcW w:w="2900" w:type="dxa"/>
            <w:tcMar>
              <w:top w:w="45" w:type="dxa"/>
              <w:left w:w="85" w:type="dxa"/>
              <w:bottom w:w="45" w:type="dxa"/>
              <w:right w:w="85" w:type="dxa"/>
            </w:tcMar>
          </w:tcPr>
          <w:p>
            <w:pPr>
              <w:spacing w:after="0" w:before="0"/>
            </w:pPr>
            <w:r>
              <w:rPr>
                <w:b w:val="0"/>
                <w:color w:val="33414F"/>
                <w:sz w:val="18"/>
              </w:rPr>
              <w:t xml:space="preserve">youth engagement app</w:t>
            </w:r>
          </w:p>
        </w:tc>
        <w:tc>
          <w:tcPr>
            <w:tcW w:w="1500" w:type="dxa"/>
            <w:tcMar>
              <w:top w:w="45" w:type="dxa"/>
              <w:left w:w="85" w:type="dxa"/>
              <w:bottom w:w="45" w:type="dxa"/>
              <w:right w:w="85" w:type="dxa"/>
            </w:tcMar>
          </w:tcPr>
          <w:p>
            <w:pPr>
              <w:spacing w:after="0" w:before="0"/>
            </w:pPr>
            <w:r>
              <w:rPr>
                <w:b w:val="0"/>
                <w:color w:val="33414F"/>
                <w:sz w:val="18"/>
              </w:rPr>
              <w:t xml:space="preserve">Active (DataFree disabled) — special PI</w:t>
            </w:r>
          </w:p>
        </w:tc>
        <w:tc>
          <w:tcPr>
            <w:tcW w:w="2600" w:type="dxa"/>
            <w:tcMar>
              <w:top w:w="45" w:type="dxa"/>
              <w:left w:w="85" w:type="dxa"/>
              <w:bottom w:w="45" w:type="dxa"/>
              <w:right w:w="85" w:type="dxa"/>
            </w:tcMar>
          </w:tcPr>
          <w:p>
            <w:pPr>
              <w:spacing w:after="0" w:before="0"/>
            </w:pPr>
            <w:r>
              <w:rPr>
                <w:b w:val="0"/>
                <w:color w:val="33414F"/>
                <w:sz w:val="18"/>
              </w:rPr>
              <w:t xml:space="preserve">Keep — central support takeover</w:t>
            </w:r>
          </w:p>
        </w:tc>
      </w:tr>
      <w:tr>
        <w:tc>
          <w:tcPr>
            <w:tcW w:w="2500" w:type="dxa"/>
            <w:tcMar>
              <w:top w:w="45" w:type="dxa"/>
              <w:left w:w="85" w:type="dxa"/>
              <w:bottom w:w="45" w:type="dxa"/>
              <w:right w:w="85" w:type="dxa"/>
            </w:tcMar>
          </w:tcPr>
          <w:p>
            <w:pPr>
              <w:spacing w:after="0" w:before="0"/>
            </w:pPr>
            <w:r>
              <w:rPr>
                <w:b w:val="0"/>
                <w:color w:val="33414F"/>
                <w:sz w:val="18"/>
              </w:rPr>
              <w:t xml:space="preserve">eLearning Platform</w:t>
            </w:r>
          </w:p>
        </w:tc>
        <w:tc>
          <w:tcPr>
            <w:tcW w:w="2900" w:type="dxa"/>
            <w:tcMar>
              <w:top w:w="45" w:type="dxa"/>
              <w:left w:w="85" w:type="dxa"/>
              <w:bottom w:w="45" w:type="dxa"/>
              <w:right w:w="85" w:type="dxa"/>
            </w:tcMar>
          </w:tcPr>
          <w:p>
            <w:pPr>
              <w:spacing w:after="0" w:before="0"/>
            </w:pPr>
            <w:r>
              <w:rPr>
                <w:b w:val="0"/>
                <w:color w:val="33414F"/>
                <w:sz w:val="18"/>
              </w:rPr>
              <w:t xml:space="preserve">youth learning</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Keep — relocate UK-hosted test server</w:t>
            </w:r>
          </w:p>
        </w:tc>
      </w:tr>
      <w:tr>
        <w:tc>
          <w:tcPr>
            <w:tcW w:w="2500" w:type="dxa"/>
            <w:tcMar>
              <w:top w:w="45" w:type="dxa"/>
              <w:left w:w="85" w:type="dxa"/>
              <w:bottom w:w="45" w:type="dxa"/>
              <w:right w:w="85" w:type="dxa"/>
            </w:tcMar>
          </w:tcPr>
          <w:p>
            <w:pPr>
              <w:spacing w:after="0" w:before="0"/>
            </w:pPr>
            <w:r>
              <w:rPr>
                <w:b w:val="0"/>
                <w:color w:val="33414F"/>
                <w:sz w:val="18"/>
              </w:rPr>
              <w:t xml:space="preserve">MojaMind</w:t>
            </w:r>
          </w:p>
        </w:tc>
        <w:tc>
          <w:tcPr>
            <w:tcW w:w="2900" w:type="dxa"/>
            <w:tcMar>
              <w:top w:w="45" w:type="dxa"/>
              <w:left w:w="85" w:type="dxa"/>
              <w:bottom w:w="45" w:type="dxa"/>
              <w:right w:w="85" w:type="dxa"/>
            </w:tcMar>
          </w:tcPr>
          <w:p>
            <w:pPr>
              <w:spacing w:after="0" w:before="0"/>
            </w:pPr>
            <w:r>
              <w:rPr>
                <w:b w:val="0"/>
                <w:color w:val="33414F"/>
                <w:sz w:val="18"/>
              </w:rPr>
              <w:t xml:space="preserve">mental-health e-art app (YGLWHIV)</w:t>
            </w:r>
          </w:p>
        </w:tc>
        <w:tc>
          <w:tcPr>
            <w:tcW w:w="1500" w:type="dxa"/>
            <w:tcMar>
              <w:top w:w="45" w:type="dxa"/>
              <w:left w:w="85" w:type="dxa"/>
              <w:bottom w:w="45" w:type="dxa"/>
              <w:right w:w="85" w:type="dxa"/>
            </w:tcMar>
          </w:tcPr>
          <w:p>
            <w:pPr>
              <w:spacing w:after="0" w:before="0"/>
            </w:pPr>
            <w:r>
              <w:rPr>
                <w:b w:val="0"/>
                <w:color w:val="33414F"/>
                <w:sz w:val="18"/>
              </w:rPr>
              <w:t xml:space="preserve">Active — special PI</w:t>
            </w:r>
          </w:p>
        </w:tc>
        <w:tc>
          <w:tcPr>
            <w:tcW w:w="2600" w:type="dxa"/>
            <w:tcMar>
              <w:top w:w="45" w:type="dxa"/>
              <w:left w:w="85" w:type="dxa"/>
              <w:bottom w:w="45" w:type="dxa"/>
              <w:right w:w="85" w:type="dxa"/>
            </w:tcMar>
          </w:tcPr>
          <w:p>
            <w:pPr>
              <w:spacing w:after="0" w:before="0"/>
            </w:pPr>
            <w:r>
              <w:rPr>
                <w:b w:val="0"/>
                <w:color w:val="33414F"/>
                <w:sz w:val="18"/>
              </w:rPr>
              <w:t xml:space="preserve">Protect during migration; Phase 3 cost evaluation</w:t>
            </w:r>
          </w:p>
        </w:tc>
      </w:tr>
      <w:tr>
        <w:tc>
          <w:tcPr>
            <w:tcW w:w="2500" w:type="dxa"/>
            <w:tcMar>
              <w:top w:w="45" w:type="dxa"/>
              <w:left w:w="85" w:type="dxa"/>
              <w:bottom w:w="45" w:type="dxa"/>
              <w:right w:w="85" w:type="dxa"/>
            </w:tcMar>
          </w:tcPr>
          <w:p>
            <w:pPr>
              <w:spacing w:after="0" w:before="0"/>
            </w:pPr>
            <w:r>
              <w:rPr>
                <w:b w:val="0"/>
                <w:color w:val="33414F"/>
                <w:sz w:val="18"/>
              </w:rPr>
              <w:t xml:space="preserve">Microsoft 365</w:t>
            </w:r>
          </w:p>
        </w:tc>
        <w:tc>
          <w:tcPr>
            <w:tcW w:w="2900" w:type="dxa"/>
            <w:tcMar>
              <w:top w:w="45" w:type="dxa"/>
              <w:left w:w="85" w:type="dxa"/>
              <w:bottom w:w="45" w:type="dxa"/>
              <w:right w:w="85" w:type="dxa"/>
            </w:tcMar>
          </w:tcPr>
          <w:p>
            <w:pPr>
              <w:spacing w:after="0" w:before="0"/>
            </w:pPr>
            <w:r>
              <w:rPr>
                <w:b w:val="0"/>
                <w:color w:val="33414F"/>
                <w:sz w:val="18"/>
              </w:rPr>
              <w:t xml:space="preserve">productivity (~250 users)</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Keep — foundation of target estate</w:t>
            </w:r>
          </w:p>
        </w:tc>
      </w:tr>
      <w:tr>
        <w:tc>
          <w:tcPr>
            <w:tcW w:w="2500" w:type="dxa"/>
            <w:tcMar>
              <w:top w:w="45" w:type="dxa"/>
              <w:left w:w="85" w:type="dxa"/>
              <w:bottom w:w="45" w:type="dxa"/>
              <w:right w:w="85" w:type="dxa"/>
            </w:tcMar>
          </w:tcPr>
          <w:p>
            <w:pPr>
              <w:spacing w:after="0" w:before="0"/>
            </w:pPr>
            <w:r>
              <w:rPr>
                <w:b w:val="0"/>
                <w:color w:val="33414F"/>
                <w:sz w:val="18"/>
              </w:rPr>
              <w:t xml:space="preserve">Azure SnipeIT</w:t>
            </w:r>
          </w:p>
        </w:tc>
        <w:tc>
          <w:tcPr>
            <w:tcW w:w="2900" w:type="dxa"/>
            <w:tcMar>
              <w:top w:w="45" w:type="dxa"/>
              <w:left w:w="85" w:type="dxa"/>
              <w:bottom w:w="45" w:type="dxa"/>
              <w:right w:w="85" w:type="dxa"/>
            </w:tcMar>
          </w:tcPr>
          <w:p>
            <w:pPr>
              <w:spacing w:after="0" w:before="0"/>
            </w:pPr>
            <w:r>
              <w:rPr>
                <w:b w:val="0"/>
                <w:color w:val="33414F"/>
                <w:sz w:val="18"/>
              </w:rPr>
              <w:t xml:space="preserve">asset tracking</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Integrate asset register with ERP route</w:t>
            </w:r>
          </w:p>
        </w:tc>
      </w:tr>
      <w:tr>
        <w:tc>
          <w:tcPr>
            <w:tcW w:w="2500" w:type="dxa"/>
            <w:tcMar>
              <w:top w:w="45" w:type="dxa"/>
              <w:left w:w="85" w:type="dxa"/>
              <w:bottom w:w="45" w:type="dxa"/>
              <w:right w:w="85" w:type="dxa"/>
            </w:tcMar>
          </w:tcPr>
          <w:p>
            <w:pPr>
              <w:spacing w:after="0" w:before="0"/>
            </w:pPr>
            <w:r>
              <w:rPr>
                <w:b w:val="0"/>
                <w:color w:val="33414F"/>
                <w:sz w:val="18"/>
              </w:rPr>
              <w:t xml:space="preserve">FreshService</w:t>
            </w:r>
          </w:p>
        </w:tc>
        <w:tc>
          <w:tcPr>
            <w:tcW w:w="2900" w:type="dxa"/>
            <w:tcMar>
              <w:top w:w="45" w:type="dxa"/>
              <w:left w:w="85" w:type="dxa"/>
              <w:bottom w:w="45" w:type="dxa"/>
              <w:right w:w="85" w:type="dxa"/>
            </w:tcMar>
          </w:tcPr>
          <w:p>
            <w:pPr>
              <w:spacing w:after="0" w:before="0"/>
            </w:pPr>
            <w:r>
              <w:rPr>
                <w:b w:val="0"/>
                <w:color w:val="33414F"/>
                <w:sz w:val="18"/>
              </w:rPr>
              <w:t xml:space="preserve">ITSM/ticketing</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Keep — real-time connector to lakehouse</w:t>
            </w:r>
          </w:p>
        </w:tc>
      </w:tr>
      <w:tr>
        <w:tc>
          <w:tcPr>
            <w:tcW w:w="2500" w:type="dxa"/>
            <w:tcMar>
              <w:top w:w="45" w:type="dxa"/>
              <w:left w:w="85" w:type="dxa"/>
              <w:bottom w:w="45" w:type="dxa"/>
              <w:right w:w="85" w:type="dxa"/>
            </w:tcMar>
          </w:tcPr>
          <w:p>
            <w:pPr>
              <w:spacing w:after="0" w:before="0"/>
            </w:pPr>
            <w:r>
              <w:rPr>
                <w:b w:val="0"/>
                <w:color w:val="33414F"/>
                <w:sz w:val="18"/>
              </w:rPr>
              <w:t xml:space="preserve">Mimecast</w:t>
            </w:r>
          </w:p>
        </w:tc>
        <w:tc>
          <w:tcPr>
            <w:tcW w:w="2900" w:type="dxa"/>
            <w:tcMar>
              <w:top w:w="45" w:type="dxa"/>
              <w:left w:w="85" w:type="dxa"/>
              <w:bottom w:w="45" w:type="dxa"/>
              <w:right w:w="85" w:type="dxa"/>
            </w:tcMar>
          </w:tcPr>
          <w:p>
            <w:pPr>
              <w:spacing w:after="0" w:before="0"/>
            </w:pPr>
            <w:r>
              <w:rPr>
                <w:b w:val="0"/>
                <w:color w:val="33414F"/>
                <w:sz w:val="18"/>
              </w:rPr>
              <w:t xml:space="preserve">email security (±40 of ~200 covered)</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Exit (F-02) → Azure/Jura; serve ±90-day notice</w:t>
            </w:r>
          </w:p>
        </w:tc>
      </w:tr>
      <w:tr>
        <w:tc>
          <w:tcPr>
            <w:tcW w:w="2500" w:type="dxa"/>
            <w:tcMar>
              <w:top w:w="45" w:type="dxa"/>
              <w:left w:w="85" w:type="dxa"/>
              <w:bottom w:w="45" w:type="dxa"/>
              <w:right w:w="85" w:type="dxa"/>
            </w:tcMar>
          </w:tcPr>
          <w:p>
            <w:pPr>
              <w:spacing w:after="0" w:before="0"/>
            </w:pPr>
            <w:r>
              <w:rPr>
                <w:b w:val="0"/>
                <w:color w:val="33414F"/>
                <w:sz w:val="18"/>
              </w:rPr>
              <w:t xml:space="preserve">ShoutLink</w:t>
            </w:r>
          </w:p>
        </w:tc>
        <w:tc>
          <w:tcPr>
            <w:tcW w:w="2900" w:type="dxa"/>
            <w:tcMar>
              <w:top w:w="45" w:type="dxa"/>
              <w:left w:w="85" w:type="dxa"/>
              <w:bottom w:w="45" w:type="dxa"/>
              <w:right w:w="85" w:type="dxa"/>
            </w:tcMar>
          </w:tcPr>
          <w:p>
            <w:pPr>
              <w:spacing w:after="0" w:before="0"/>
            </w:pPr>
            <w:r>
              <w:rPr>
                <w:b w:val="0"/>
                <w:color w:val="33414F"/>
                <w:sz w:val="18"/>
              </w:rPr>
              <w:t xml:space="preserve">legacy link platform — special PI</w:t>
            </w:r>
          </w:p>
        </w:tc>
        <w:tc>
          <w:tcPr>
            <w:tcW w:w="1500" w:type="dxa"/>
            <w:tcMar>
              <w:top w:w="45" w:type="dxa"/>
              <w:left w:w="85" w:type="dxa"/>
              <w:bottom w:w="45" w:type="dxa"/>
              <w:right w:w="85" w:type="dxa"/>
            </w:tcMar>
          </w:tcPr>
          <w:p>
            <w:pPr>
              <w:spacing w:after="0" w:before="0"/>
            </w:pPr>
            <w:r>
              <w:rPr>
                <w:b w:val="0"/>
                <w:color w:val="33414F"/>
                <w:sz w:val="18"/>
              </w:rPr>
              <w:t xml:space="preserve">Under review</w:t>
            </w:r>
          </w:p>
        </w:tc>
        <w:tc>
          <w:tcPr>
            <w:tcW w:w="2600" w:type="dxa"/>
            <w:tcMar>
              <w:top w:w="45" w:type="dxa"/>
              <w:left w:w="85" w:type="dxa"/>
              <w:bottom w:w="45" w:type="dxa"/>
              <w:right w:w="85" w:type="dxa"/>
            </w:tcMar>
          </w:tcPr>
          <w:p>
            <w:pPr>
              <w:spacing w:after="0" w:before="0"/>
            </w:pPr>
            <w:r>
              <w:rPr>
                <w:b w:val="0"/>
                <w:color w:val="33414F"/>
                <w:sz w:val="18"/>
              </w:rPr>
              <w:t xml:space="preserve">Retirement pending; data disposition per POPIA §14</w:t>
            </w:r>
          </w:p>
        </w:tc>
      </w:tr>
      <w:tr>
        <w:tc>
          <w:tcPr>
            <w:tcW w:w="2500" w:type="dxa"/>
            <w:tcMar>
              <w:top w:w="45" w:type="dxa"/>
              <w:left w:w="85" w:type="dxa"/>
              <w:bottom w:w="45" w:type="dxa"/>
              <w:right w:w="85" w:type="dxa"/>
            </w:tcMar>
          </w:tcPr>
          <w:p>
            <w:pPr>
              <w:spacing w:after="0" w:before="0"/>
            </w:pPr>
            <w:r>
              <w:rPr>
                <w:b w:val="0"/>
                <w:color w:val="33414F"/>
                <w:sz w:val="18"/>
              </w:rPr>
              <w:t xml:space="preserve">Public web (WordPress)</w:t>
            </w:r>
          </w:p>
        </w:tc>
        <w:tc>
          <w:tcPr>
            <w:tcW w:w="2900" w:type="dxa"/>
            <w:tcMar>
              <w:top w:w="45" w:type="dxa"/>
              <w:left w:w="85" w:type="dxa"/>
              <w:bottom w:w="45" w:type="dxa"/>
              <w:right w:w="85" w:type="dxa"/>
            </w:tcMar>
          </w:tcPr>
          <w:p>
            <w:pPr>
              <w:spacing w:after="0" w:before="0"/>
            </w:pPr>
            <w:r>
              <w:rPr>
                <w:b w:val="0"/>
                <w:color w:val="33414F"/>
                <w:sz w:val="18"/>
              </w:rPr>
              <w:t xml:space="preserve">public site</w:t>
            </w:r>
          </w:p>
        </w:tc>
        <w:tc>
          <w:tcPr>
            <w:tcW w:w="1500" w:type="dxa"/>
            <w:tcMar>
              <w:top w:w="45" w:type="dxa"/>
              <w:left w:w="85" w:type="dxa"/>
              <w:bottom w:w="45" w:type="dxa"/>
              <w:right w:w="85" w:type="dxa"/>
            </w:tcMar>
          </w:tcPr>
          <w:p>
            <w:pPr>
              <w:spacing w:after="0" w:before="0"/>
            </w:pPr>
            <w:r>
              <w:rPr>
                <w:b w:val="0"/>
                <w:color w:val="33414F"/>
                <w:sz w:val="18"/>
              </w:rPr>
              <w:t xml:space="preserve">Active</w:t>
            </w:r>
          </w:p>
        </w:tc>
        <w:tc>
          <w:tcPr>
            <w:tcW w:w="2600" w:type="dxa"/>
            <w:tcMar>
              <w:top w:w="45" w:type="dxa"/>
              <w:left w:w="85" w:type="dxa"/>
              <w:bottom w:w="45" w:type="dxa"/>
              <w:right w:w="85" w:type="dxa"/>
            </w:tcMar>
          </w:tcPr>
          <w:p>
            <w:pPr>
              <w:spacing w:after="0" w:before="0"/>
            </w:pPr>
            <w:r>
              <w:rPr>
                <w:b w:val="0"/>
                <w:color w:val="33414F"/>
                <w:sz w:val="18"/>
              </w:rPr>
              <w:t xml:space="preserve">Remediate residency (F-01); consolidate hosting</w:t>
            </w:r>
          </w:p>
        </w:tc>
      </w:tr>
    </w:tbl>
    <w:p>
      <w:pPr>
        <w:spacing w:after="80"/>
      </w:pP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7.3 Consolidation matrix — primary target + three market alternatives per system</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Direction per Exco steer: every system except BioSyn consolidates onto Azure, Sage X3 and the Ionity Intranet hosting. BioSyn — the biometric hardware layer — stays standalone with an API feed only. Honouring the Phase-1 mandate, each move lists three market alternatives that are deliberately NOT Azure and NOT Sage X3, so the client always sees the honest market picture before committing.</w:t>
      </w:r>
    </w:p>
    <w:p>
      <w:pPr>
        <w:spacing w:before="80" w:after="120"/>
        <w:jc w:val="center"/>
      </w:pPr>
      <w:r>
        <w:drawing>
          <wp:inline xmlns:wp="http://schemas.openxmlformats.org/drawingml/2006/wordprocessingDrawing" distT="0" distB="0" distL="0" distR="0">
            <wp:extent cx="5852160" cy="3851756"/>
            <wp:effectExtent l="0" t="0" r="0" b="0"/>
            <wp:docPr id="208" name="Consolidation destin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Consolidation destiny map"/>
                    <pic:cNvPicPr/>
                  </pic:nvPicPr>
                  <pic:blipFill>
                    <a:blip r:embed="rIdD8"/>
                    <a:stretch>
                      <a:fillRect/>
                    </a:stretch>
                  </pic:blipFill>
                  <pic:spPr>
                    <a:xfrm>
                      <a:off x="0" y="0"/>
                      <a:ext cx="5852160" cy="3851756"/>
                    </a:xfrm>
                    <a:prstGeom prst="rect">
                      <a:avLst/>
                    </a:prstGeom>
                  </pic:spPr>
                </pic:pic>
              </a:graphicData>
            </a:graphic>
          </wp:inline>
        </w:drawing>
      </w:r>
    </w:p>
    <w:tbl>
      <w:tblPr>
        <w:tblW w:w="945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750"/>
        <w:gridCol w:w="2450"/>
        <w:gridCol w:w="1750"/>
        <w:gridCol w:w="1750"/>
        <w:gridCol w:w="1750"/>
      </w:tblGrid>
      <w:tr>
        <w:tc>
          <w:tcPr>
            <w:tcW w:w="1750" w:type="dxa"/>
            <w:shd w:val="clear" w:color="auto" w:fill="0D2137"/>
            <w:tcMar>
              <w:top w:w="45" w:type="dxa"/>
              <w:left w:w="85" w:type="dxa"/>
              <w:bottom w:w="45" w:type="dxa"/>
              <w:right w:w="85" w:type="dxa"/>
            </w:tcMar>
          </w:tcPr>
          <w:p>
            <w:pPr>
              <w:spacing w:after="0" w:before="0"/>
            </w:pPr>
            <w:r>
              <w:rPr>
                <w:b/>
                <w:color w:val="FFFFFF"/>
                <w:sz w:val="16"/>
              </w:rPr>
              <w:t xml:space="preserve">System</w:t>
            </w:r>
          </w:p>
        </w:tc>
        <w:tc>
          <w:tcPr>
            <w:tcW w:w="2450" w:type="dxa"/>
            <w:shd w:val="clear" w:color="auto" w:fill="0D2137"/>
            <w:tcMar>
              <w:top w:w="45" w:type="dxa"/>
              <w:left w:w="85" w:type="dxa"/>
              <w:bottom w:w="45" w:type="dxa"/>
              <w:right w:w="85" w:type="dxa"/>
            </w:tcMar>
          </w:tcPr>
          <w:p>
            <w:pPr>
              <w:spacing w:after="0" w:before="0"/>
            </w:pPr>
            <w:r>
              <w:rPr>
                <w:b/>
                <w:color w:val="FFFFFF"/>
                <w:sz w:val="16"/>
              </w:rPr>
              <w:t xml:space="preserve">Primary target</w:t>
            </w:r>
          </w:p>
        </w:tc>
        <w:tc>
          <w:tcPr>
            <w:tcW w:w="1750" w:type="dxa"/>
            <w:shd w:val="clear" w:color="auto" w:fill="0D2137"/>
            <w:tcMar>
              <w:top w:w="45" w:type="dxa"/>
              <w:left w:w="85" w:type="dxa"/>
              <w:bottom w:w="45" w:type="dxa"/>
              <w:right w:w="85" w:type="dxa"/>
            </w:tcMar>
          </w:tcPr>
          <w:p>
            <w:pPr>
              <w:spacing w:after="0" w:before="0"/>
            </w:pPr>
            <w:r>
              <w:rPr>
                <w:b/>
                <w:color w:val="FFFFFF"/>
                <w:sz w:val="16"/>
              </w:rPr>
              <w:t xml:space="preserve">Alt 1 (non-Azure/X3)</w:t>
            </w:r>
          </w:p>
        </w:tc>
        <w:tc>
          <w:tcPr>
            <w:tcW w:w="1750" w:type="dxa"/>
            <w:shd w:val="clear" w:color="auto" w:fill="0D2137"/>
            <w:tcMar>
              <w:top w:w="45" w:type="dxa"/>
              <w:left w:w="85" w:type="dxa"/>
              <w:bottom w:w="45" w:type="dxa"/>
              <w:right w:w="85" w:type="dxa"/>
            </w:tcMar>
          </w:tcPr>
          <w:p>
            <w:pPr>
              <w:spacing w:after="0" w:before="0"/>
            </w:pPr>
            <w:r>
              <w:rPr>
                <w:b/>
                <w:color w:val="FFFFFF"/>
                <w:sz w:val="16"/>
              </w:rPr>
              <w:t xml:space="preserve">Alt 2</w:t>
            </w:r>
          </w:p>
        </w:tc>
        <w:tc>
          <w:tcPr>
            <w:tcW w:w="1750" w:type="dxa"/>
            <w:shd w:val="clear" w:color="auto" w:fill="0D2137"/>
            <w:tcMar>
              <w:top w:w="45" w:type="dxa"/>
              <w:left w:w="85" w:type="dxa"/>
              <w:bottom w:w="45" w:type="dxa"/>
              <w:right w:w="85" w:type="dxa"/>
            </w:tcMar>
          </w:tcPr>
          <w:p>
            <w:pPr>
              <w:spacing w:after="0" w:before="0"/>
            </w:pPr>
            <w:r>
              <w:rPr>
                <w:b/>
                <w:color w:val="FFFFFF"/>
                <w:sz w:val="16"/>
              </w:rPr>
              <w:t xml:space="preserve">Alt 3</w:t>
            </w:r>
          </w:p>
        </w:tc>
      </w:tr>
      <w:tr>
        <w:tc>
          <w:tcPr>
            <w:tcW w:w="1750" w:type="dxa"/>
            <w:tcMar>
              <w:top w:w="45" w:type="dxa"/>
              <w:left w:w="85" w:type="dxa"/>
              <w:bottom w:w="45" w:type="dxa"/>
              <w:right w:w="85" w:type="dxa"/>
            </w:tcMar>
          </w:tcPr>
          <w:p>
            <w:pPr>
              <w:spacing w:after="0" w:before="0"/>
            </w:pPr>
            <w:r>
              <w:rPr>
                <w:b w:val="0"/>
                <w:color w:val="33414F"/>
                <w:sz w:val="16"/>
              </w:rPr>
              <w:t xml:space="preserve">SMART 2.0</w:t>
            </w:r>
          </w:p>
        </w:tc>
        <w:tc>
          <w:tcPr>
            <w:tcW w:w="2450" w:type="dxa"/>
            <w:tcMar>
              <w:top w:w="45" w:type="dxa"/>
              <w:left w:w="85" w:type="dxa"/>
              <w:bottom w:w="45" w:type="dxa"/>
              <w:right w:w="85" w:type="dxa"/>
            </w:tcMar>
          </w:tcPr>
          <w:p>
            <w:pPr>
              <w:spacing w:after="0" w:before="0"/>
            </w:pPr>
            <w:r>
              <w:rPr>
                <w:b w:val="0"/>
                <w:color w:val="33414F"/>
                <w:sz w:val="16"/>
              </w:rPr>
              <w:t xml:space="preserve">Ionity Intranet (CLINICAL) + .NET refresh</w:t>
            </w:r>
          </w:p>
        </w:tc>
        <w:tc>
          <w:tcPr>
            <w:tcW w:w="1750" w:type="dxa"/>
            <w:tcMar>
              <w:top w:w="45" w:type="dxa"/>
              <w:left w:w="85" w:type="dxa"/>
              <w:bottom w:w="45" w:type="dxa"/>
              <w:right w:w="85" w:type="dxa"/>
            </w:tcMar>
          </w:tcPr>
          <w:p>
            <w:pPr>
              <w:spacing w:after="0" w:before="0"/>
            </w:pPr>
            <w:r>
              <w:rPr>
                <w:b w:val="0"/>
                <w:color w:val="33414F"/>
                <w:sz w:val="16"/>
              </w:rPr>
              <w:t xml:space="preserve">OpenMRS</w:t>
            </w:r>
          </w:p>
        </w:tc>
        <w:tc>
          <w:tcPr>
            <w:tcW w:w="1750" w:type="dxa"/>
            <w:tcMar>
              <w:top w:w="45" w:type="dxa"/>
              <w:left w:w="85" w:type="dxa"/>
              <w:bottom w:w="45" w:type="dxa"/>
              <w:right w:w="85" w:type="dxa"/>
            </w:tcMar>
          </w:tcPr>
          <w:p>
            <w:pPr>
              <w:spacing w:after="0" w:before="0"/>
            </w:pPr>
            <w:r>
              <w:rPr>
                <w:b w:val="0"/>
                <w:color w:val="33414F"/>
                <w:sz w:val="16"/>
              </w:rPr>
              <w:t xml:space="preserve">Bahmni</w:t>
            </w:r>
          </w:p>
        </w:tc>
        <w:tc>
          <w:tcPr>
            <w:tcW w:w="1750" w:type="dxa"/>
            <w:tcMar>
              <w:top w:w="45" w:type="dxa"/>
              <w:left w:w="85" w:type="dxa"/>
              <w:bottom w:w="45" w:type="dxa"/>
              <w:right w:w="85" w:type="dxa"/>
            </w:tcMar>
          </w:tcPr>
          <w:p>
            <w:pPr>
              <w:spacing w:after="0" w:before="0"/>
            </w:pPr>
            <w:r>
              <w:rPr>
                <w:b w:val="0"/>
                <w:color w:val="33414F"/>
                <w:sz w:val="16"/>
              </w:rPr>
              <w:t xml:space="preserve">DHIS2 Tracker</w:t>
            </w:r>
          </w:p>
        </w:tc>
      </w:tr>
      <w:tr>
        <w:tc>
          <w:tcPr>
            <w:tcW w:w="1750" w:type="dxa"/>
            <w:tcMar>
              <w:top w:w="45" w:type="dxa"/>
              <w:left w:w="85" w:type="dxa"/>
              <w:bottom w:w="45" w:type="dxa"/>
              <w:right w:w="85" w:type="dxa"/>
            </w:tcMar>
          </w:tcPr>
          <w:p>
            <w:pPr>
              <w:spacing w:after="0" w:before="0"/>
            </w:pPr>
            <w:r>
              <w:rPr>
                <w:b w:val="0"/>
                <w:color w:val="33414F"/>
                <w:sz w:val="16"/>
              </w:rPr>
              <w:t xml:space="preserve">SNowI 2</w:t>
            </w:r>
          </w:p>
        </w:tc>
        <w:tc>
          <w:tcPr>
            <w:tcW w:w="2450" w:type="dxa"/>
            <w:tcMar>
              <w:top w:w="45" w:type="dxa"/>
              <w:left w:w="85" w:type="dxa"/>
              <w:bottom w:w="45" w:type="dxa"/>
              <w:right w:w="85" w:type="dxa"/>
            </w:tcMar>
          </w:tcPr>
          <w:p>
            <w:pPr>
              <w:spacing w:after="0" w:before="0"/>
            </w:pPr>
            <w:r>
              <w:rPr>
                <w:b w:val="0"/>
                <w:color w:val="33414F"/>
                <w:sz w:val="16"/>
              </w:rPr>
              <w:t xml:space="preserve">Ionity Intranet — co-located with hub</w:t>
            </w:r>
          </w:p>
        </w:tc>
        <w:tc>
          <w:tcPr>
            <w:tcW w:w="1750" w:type="dxa"/>
            <w:tcMar>
              <w:top w:w="45" w:type="dxa"/>
              <w:left w:w="85" w:type="dxa"/>
              <w:bottom w:w="45" w:type="dxa"/>
              <w:right w:w="85" w:type="dxa"/>
            </w:tcMar>
          </w:tcPr>
          <w:p>
            <w:pPr>
              <w:spacing w:after="0" w:before="0"/>
            </w:pPr>
            <w:r>
              <w:rPr>
                <w:b w:val="0"/>
                <w:color w:val="33414F"/>
                <w:sz w:val="16"/>
              </w:rPr>
              <w:t xml:space="preserve">CommCare</w:t>
            </w:r>
          </w:p>
        </w:tc>
        <w:tc>
          <w:tcPr>
            <w:tcW w:w="1750" w:type="dxa"/>
            <w:tcMar>
              <w:top w:w="45" w:type="dxa"/>
              <w:left w:w="85" w:type="dxa"/>
              <w:bottom w:w="45" w:type="dxa"/>
              <w:right w:w="85" w:type="dxa"/>
            </w:tcMar>
          </w:tcPr>
          <w:p>
            <w:pPr>
              <w:spacing w:after="0" w:before="0"/>
            </w:pPr>
            <w:r>
              <w:rPr>
                <w:b w:val="0"/>
                <w:color w:val="33414F"/>
                <w:sz w:val="16"/>
              </w:rPr>
              <w:t xml:space="preserve">REDCap</w:t>
            </w:r>
          </w:p>
        </w:tc>
        <w:tc>
          <w:tcPr>
            <w:tcW w:w="1750" w:type="dxa"/>
            <w:tcMar>
              <w:top w:w="45" w:type="dxa"/>
              <w:left w:w="85" w:type="dxa"/>
              <w:bottom w:w="45" w:type="dxa"/>
              <w:right w:w="85" w:type="dxa"/>
            </w:tcMar>
          </w:tcPr>
          <w:p>
            <w:pPr>
              <w:spacing w:after="0" w:before="0"/>
            </w:pPr>
            <w:r>
              <w:rPr>
                <w:b w:val="0"/>
                <w:color w:val="33414F"/>
                <w:sz w:val="16"/>
              </w:rPr>
              <w:t xml:space="preserve">KoboToolbox</w:t>
            </w:r>
          </w:p>
        </w:tc>
      </w:tr>
      <w:tr>
        <w:tc>
          <w:tcPr>
            <w:tcW w:w="1750" w:type="dxa"/>
            <w:tcMar>
              <w:top w:w="45" w:type="dxa"/>
              <w:left w:w="85" w:type="dxa"/>
              <w:bottom w:w="45" w:type="dxa"/>
              <w:right w:w="85" w:type="dxa"/>
            </w:tcMar>
          </w:tcPr>
          <w:p>
            <w:pPr>
              <w:spacing w:after="0" w:before="0"/>
            </w:pPr>
            <w:r>
              <w:rPr>
                <w:b w:val="0"/>
                <w:color w:val="33414F"/>
                <w:sz w:val="16"/>
              </w:rPr>
              <w:t xml:space="preserve">Chomi / AIMEE</w:t>
            </w:r>
          </w:p>
        </w:tc>
        <w:tc>
          <w:tcPr>
            <w:tcW w:w="2450" w:type="dxa"/>
            <w:tcMar>
              <w:top w:w="45" w:type="dxa"/>
              <w:left w:w="85" w:type="dxa"/>
              <w:bottom w:w="45" w:type="dxa"/>
              <w:right w:w="85" w:type="dxa"/>
            </w:tcMar>
          </w:tcPr>
          <w:p>
            <w:pPr>
              <w:spacing w:after="0" w:before="0"/>
            </w:pPr>
            <w:r>
              <w:rPr>
                <w:b w:val="0"/>
                <w:color w:val="33414F"/>
                <w:sz w:val="16"/>
              </w:rPr>
              <w:t xml:space="preserve">BotPress on hybrid Option C (v2)</w:t>
            </w:r>
          </w:p>
        </w:tc>
        <w:tc>
          <w:tcPr>
            <w:tcW w:w="1750" w:type="dxa"/>
            <w:tcMar>
              <w:top w:w="45" w:type="dxa"/>
              <w:left w:w="85" w:type="dxa"/>
              <w:bottom w:w="45" w:type="dxa"/>
              <w:right w:w="85" w:type="dxa"/>
            </w:tcMar>
          </w:tcPr>
          <w:p>
            <w:pPr>
              <w:spacing w:after="0" w:before="0"/>
            </w:pPr>
            <w:r>
              <w:rPr>
                <w:b w:val="0"/>
                <w:color w:val="33414F"/>
                <w:sz w:val="16"/>
              </w:rPr>
              <w:t xml:space="preserve">Rasa</w:t>
            </w:r>
          </w:p>
        </w:tc>
        <w:tc>
          <w:tcPr>
            <w:tcW w:w="1750" w:type="dxa"/>
            <w:tcMar>
              <w:top w:w="45" w:type="dxa"/>
              <w:left w:w="85" w:type="dxa"/>
              <w:bottom w:w="45" w:type="dxa"/>
              <w:right w:w="85" w:type="dxa"/>
            </w:tcMar>
          </w:tcPr>
          <w:p>
            <w:pPr>
              <w:spacing w:after="0" w:before="0"/>
            </w:pPr>
            <w:r>
              <w:rPr>
                <w:b w:val="0"/>
                <w:color w:val="33414F"/>
                <w:sz w:val="16"/>
              </w:rPr>
              <w:t xml:space="preserve">Turn.io</w:t>
            </w:r>
          </w:p>
        </w:tc>
        <w:tc>
          <w:tcPr>
            <w:tcW w:w="1750" w:type="dxa"/>
            <w:tcMar>
              <w:top w:w="45" w:type="dxa"/>
              <w:left w:w="85" w:type="dxa"/>
              <w:bottom w:w="45" w:type="dxa"/>
              <w:right w:w="85" w:type="dxa"/>
            </w:tcMar>
          </w:tcPr>
          <w:p>
            <w:pPr>
              <w:spacing w:after="0" w:before="0"/>
            </w:pPr>
            <w:r>
              <w:rPr>
                <w:b w:val="0"/>
                <w:color w:val="33414F"/>
                <w:sz w:val="16"/>
              </w:rPr>
              <w:t xml:space="preserve">RapidPro</w:t>
            </w:r>
          </w:p>
        </w:tc>
      </w:tr>
      <w:tr>
        <w:tc>
          <w:tcPr>
            <w:tcW w:w="1750" w:type="dxa"/>
            <w:tcMar>
              <w:top w:w="45" w:type="dxa"/>
              <w:left w:w="85" w:type="dxa"/>
              <w:bottom w:w="45" w:type="dxa"/>
              <w:right w:w="85" w:type="dxa"/>
            </w:tcMar>
          </w:tcPr>
          <w:p>
            <w:pPr>
              <w:spacing w:after="0" w:before="0"/>
            </w:pPr>
            <w:r>
              <w:rPr>
                <w:b w:val="0"/>
                <w:color w:val="33414F"/>
                <w:sz w:val="16"/>
              </w:rPr>
              <w:t xml:space="preserve">WhatsApp Platform</w:t>
            </w:r>
          </w:p>
        </w:tc>
        <w:tc>
          <w:tcPr>
            <w:tcW w:w="2450" w:type="dxa"/>
            <w:tcMar>
              <w:top w:w="45" w:type="dxa"/>
              <w:left w:w="85" w:type="dxa"/>
              <w:bottom w:w="45" w:type="dxa"/>
              <w:right w:w="85" w:type="dxa"/>
            </w:tcMar>
          </w:tcPr>
          <w:p>
            <w:pPr>
              <w:spacing w:after="0" w:before="0"/>
            </w:pPr>
            <w:r>
              <w:rPr>
                <w:b w:val="0"/>
                <w:color w:val="33414F"/>
                <w:sz w:val="16"/>
              </w:rPr>
              <w:t xml:space="preserve">Keep (Meta WABA) — Eventstream feed</w:t>
            </w:r>
          </w:p>
        </w:tc>
        <w:tc>
          <w:tcPr>
            <w:tcW w:w="1750" w:type="dxa"/>
            <w:tcMar>
              <w:top w:w="45" w:type="dxa"/>
              <w:left w:w="85" w:type="dxa"/>
              <w:bottom w:w="45" w:type="dxa"/>
              <w:right w:w="85" w:type="dxa"/>
            </w:tcMar>
          </w:tcPr>
          <w:p>
            <w:pPr>
              <w:spacing w:after="0" w:before="0"/>
            </w:pPr>
            <w:r>
              <w:rPr>
                <w:b w:val="0"/>
                <w:color w:val="33414F"/>
                <w:sz w:val="16"/>
              </w:rPr>
              <w:t xml:space="preserve">Twilio</w:t>
            </w:r>
          </w:p>
        </w:tc>
        <w:tc>
          <w:tcPr>
            <w:tcW w:w="1750" w:type="dxa"/>
            <w:tcMar>
              <w:top w:w="45" w:type="dxa"/>
              <w:left w:w="85" w:type="dxa"/>
              <w:bottom w:w="45" w:type="dxa"/>
              <w:right w:w="85" w:type="dxa"/>
            </w:tcMar>
          </w:tcPr>
          <w:p>
            <w:pPr>
              <w:spacing w:after="0" w:before="0"/>
            </w:pPr>
            <w:r>
              <w:rPr>
                <w:b w:val="0"/>
                <w:color w:val="33414F"/>
                <w:sz w:val="16"/>
              </w:rPr>
              <w:t xml:space="preserve">360dialog</w:t>
            </w:r>
          </w:p>
        </w:tc>
        <w:tc>
          <w:tcPr>
            <w:tcW w:w="1750" w:type="dxa"/>
            <w:tcMar>
              <w:top w:w="45" w:type="dxa"/>
              <w:left w:w="85" w:type="dxa"/>
              <w:bottom w:w="45" w:type="dxa"/>
              <w:right w:w="85" w:type="dxa"/>
            </w:tcMar>
          </w:tcPr>
          <w:p>
            <w:pPr>
              <w:spacing w:after="0" w:before="0"/>
            </w:pPr>
            <w:r>
              <w:rPr>
                <w:b w:val="0"/>
                <w:color w:val="33414F"/>
                <w:sz w:val="16"/>
              </w:rPr>
              <w:t xml:space="preserve">Infobip</w:t>
            </w:r>
          </w:p>
        </w:tc>
      </w:tr>
      <w:tr>
        <w:tc>
          <w:tcPr>
            <w:tcW w:w="1750" w:type="dxa"/>
            <w:tcMar>
              <w:top w:w="45" w:type="dxa"/>
              <w:left w:w="85" w:type="dxa"/>
              <w:bottom w:w="45" w:type="dxa"/>
              <w:right w:w="85" w:type="dxa"/>
            </w:tcMar>
          </w:tcPr>
          <w:p>
            <w:pPr>
              <w:spacing w:after="0" w:before="0"/>
            </w:pPr>
            <w:r>
              <w:rPr>
                <w:b w:val="0"/>
                <w:color w:val="33414F"/>
                <w:sz w:val="16"/>
              </w:rPr>
              <w:t xml:space="preserve">iShout</w:t>
            </w:r>
          </w:p>
        </w:tc>
        <w:tc>
          <w:tcPr>
            <w:tcW w:w="2450" w:type="dxa"/>
            <w:tcMar>
              <w:top w:w="45" w:type="dxa"/>
              <w:left w:w="85" w:type="dxa"/>
              <w:bottom w:w="45" w:type="dxa"/>
              <w:right w:w="85" w:type="dxa"/>
            </w:tcMar>
          </w:tcPr>
          <w:p>
            <w:pPr>
              <w:spacing w:after="0" w:before="0"/>
            </w:pPr>
            <w:r>
              <w:rPr>
                <w:b w:val="0"/>
                <w:color w:val="33414F"/>
                <w:sz w:val="16"/>
              </w:rPr>
              <w:t xml:space="preserve">Ionity Intranet — central takeover</w:t>
            </w:r>
          </w:p>
        </w:tc>
        <w:tc>
          <w:tcPr>
            <w:tcW w:w="1750" w:type="dxa"/>
            <w:tcMar>
              <w:top w:w="45" w:type="dxa"/>
              <w:left w:w="85" w:type="dxa"/>
              <w:bottom w:w="45" w:type="dxa"/>
              <w:right w:w="85" w:type="dxa"/>
            </w:tcMar>
          </w:tcPr>
          <w:p>
            <w:pPr>
              <w:spacing w:after="0" w:before="0"/>
            </w:pPr>
            <w:r>
              <w:rPr>
                <w:b w:val="0"/>
                <w:color w:val="33414F"/>
                <w:sz w:val="16"/>
              </w:rPr>
              <w:t xml:space="preserve">Flutter rebuild</w:t>
            </w:r>
          </w:p>
        </w:tc>
        <w:tc>
          <w:tcPr>
            <w:tcW w:w="1750" w:type="dxa"/>
            <w:tcMar>
              <w:top w:w="45" w:type="dxa"/>
              <w:left w:w="85" w:type="dxa"/>
              <w:bottom w:w="45" w:type="dxa"/>
              <w:right w:w="85" w:type="dxa"/>
            </w:tcMar>
          </w:tcPr>
          <w:p>
            <w:pPr>
              <w:spacing w:after="0" w:before="0"/>
            </w:pPr>
            <w:r>
              <w:rPr>
                <w:b w:val="0"/>
                <w:color w:val="33414F"/>
                <w:sz w:val="16"/>
              </w:rPr>
              <w:t xml:space="preserve">Progressive Web App</w:t>
            </w:r>
          </w:p>
        </w:tc>
        <w:tc>
          <w:tcPr>
            <w:tcW w:w="1750" w:type="dxa"/>
            <w:tcMar>
              <w:top w:w="45" w:type="dxa"/>
              <w:left w:w="85" w:type="dxa"/>
              <w:bottom w:w="45" w:type="dxa"/>
              <w:right w:w="85" w:type="dxa"/>
            </w:tcMar>
          </w:tcPr>
          <w:p>
            <w:pPr>
              <w:spacing w:after="0" w:before="0"/>
            </w:pPr>
            <w:r>
              <w:rPr>
                <w:b w:val="0"/>
                <w:color w:val="33414F"/>
                <w:sz w:val="16"/>
              </w:rPr>
              <w:t xml:space="preserve">Glide/AppSheet</w:t>
            </w:r>
          </w:p>
        </w:tc>
      </w:tr>
      <w:tr>
        <w:tc>
          <w:tcPr>
            <w:tcW w:w="1750" w:type="dxa"/>
            <w:tcMar>
              <w:top w:w="45" w:type="dxa"/>
              <w:left w:w="85" w:type="dxa"/>
              <w:bottom w:w="45" w:type="dxa"/>
              <w:right w:w="85" w:type="dxa"/>
            </w:tcMar>
          </w:tcPr>
          <w:p>
            <w:pPr>
              <w:spacing w:after="0" w:before="0"/>
            </w:pPr>
            <w:r>
              <w:rPr>
                <w:b w:val="0"/>
                <w:color w:val="33414F"/>
                <w:sz w:val="16"/>
              </w:rPr>
              <w:t xml:space="preserve">eLearning</w:t>
            </w:r>
          </w:p>
        </w:tc>
        <w:tc>
          <w:tcPr>
            <w:tcW w:w="2450" w:type="dxa"/>
            <w:tcMar>
              <w:top w:w="45" w:type="dxa"/>
              <w:left w:w="85" w:type="dxa"/>
              <w:bottom w:w="45" w:type="dxa"/>
              <w:right w:w="85" w:type="dxa"/>
            </w:tcMar>
          </w:tcPr>
          <w:p>
            <w:pPr>
              <w:spacing w:after="0" w:before="0"/>
            </w:pPr>
            <w:r>
              <w:rPr>
                <w:b w:val="0"/>
                <w:color w:val="33414F"/>
                <w:sz w:val="16"/>
              </w:rPr>
              <w:t xml:space="preserve">Azure — relocated from UK</w:t>
            </w:r>
          </w:p>
        </w:tc>
        <w:tc>
          <w:tcPr>
            <w:tcW w:w="1750" w:type="dxa"/>
            <w:tcMar>
              <w:top w:w="45" w:type="dxa"/>
              <w:left w:w="85" w:type="dxa"/>
              <w:bottom w:w="45" w:type="dxa"/>
              <w:right w:w="85" w:type="dxa"/>
            </w:tcMar>
          </w:tcPr>
          <w:p>
            <w:pPr>
              <w:spacing w:after="0" w:before="0"/>
            </w:pPr>
            <w:r>
              <w:rPr>
                <w:b w:val="0"/>
                <w:color w:val="33414F"/>
                <w:sz w:val="16"/>
              </w:rPr>
              <w:t xml:space="preserve">Moodle Cloud</w:t>
            </w:r>
          </w:p>
        </w:tc>
        <w:tc>
          <w:tcPr>
            <w:tcW w:w="1750" w:type="dxa"/>
            <w:tcMar>
              <w:top w:w="45" w:type="dxa"/>
              <w:left w:w="85" w:type="dxa"/>
              <w:bottom w:w="45" w:type="dxa"/>
              <w:right w:w="85" w:type="dxa"/>
            </w:tcMar>
          </w:tcPr>
          <w:p>
            <w:pPr>
              <w:spacing w:after="0" w:before="0"/>
            </w:pPr>
            <w:r>
              <w:rPr>
                <w:b w:val="0"/>
                <w:color w:val="33414F"/>
                <w:sz w:val="16"/>
              </w:rPr>
              <w:t xml:space="preserve">TalentLMS</w:t>
            </w:r>
          </w:p>
        </w:tc>
        <w:tc>
          <w:tcPr>
            <w:tcW w:w="1750" w:type="dxa"/>
            <w:tcMar>
              <w:top w:w="45" w:type="dxa"/>
              <w:left w:w="85" w:type="dxa"/>
              <w:bottom w:w="45" w:type="dxa"/>
              <w:right w:w="85" w:type="dxa"/>
            </w:tcMar>
          </w:tcPr>
          <w:p>
            <w:pPr>
              <w:spacing w:after="0" w:before="0"/>
            </w:pPr>
            <w:r>
              <w:rPr>
                <w:b w:val="0"/>
                <w:color w:val="33414F"/>
                <w:sz w:val="16"/>
              </w:rPr>
              <w:t xml:space="preserve">LearnDash</w:t>
            </w:r>
          </w:p>
        </w:tc>
      </w:tr>
      <w:tr>
        <w:tc>
          <w:tcPr>
            <w:tcW w:w="1750" w:type="dxa"/>
            <w:tcMar>
              <w:top w:w="45" w:type="dxa"/>
              <w:left w:w="85" w:type="dxa"/>
              <w:bottom w:w="45" w:type="dxa"/>
              <w:right w:w="85" w:type="dxa"/>
            </w:tcMar>
          </w:tcPr>
          <w:p>
            <w:pPr>
              <w:spacing w:after="0" w:before="0"/>
            </w:pPr>
            <w:r>
              <w:rPr>
                <w:b w:val="0"/>
                <w:color w:val="33414F"/>
                <w:sz w:val="16"/>
              </w:rPr>
              <w:t xml:space="preserve">MojaMind</w:t>
            </w:r>
          </w:p>
        </w:tc>
        <w:tc>
          <w:tcPr>
            <w:tcW w:w="2450" w:type="dxa"/>
            <w:tcMar>
              <w:top w:w="45" w:type="dxa"/>
              <w:left w:w="85" w:type="dxa"/>
              <w:bottom w:w="45" w:type="dxa"/>
              <w:right w:w="85" w:type="dxa"/>
            </w:tcMar>
          </w:tcPr>
          <w:p>
            <w:pPr>
              <w:spacing w:after="0" w:before="0"/>
            </w:pPr>
            <w:r>
              <w:rPr>
                <w:b w:val="0"/>
                <w:color w:val="33414F"/>
                <w:sz w:val="16"/>
              </w:rPr>
              <w:t xml:space="preserve">Azure — per its recorded plan</w:t>
            </w:r>
          </w:p>
        </w:tc>
        <w:tc>
          <w:tcPr>
            <w:tcW w:w="1750" w:type="dxa"/>
            <w:tcMar>
              <w:top w:w="45" w:type="dxa"/>
              <w:left w:w="85" w:type="dxa"/>
              <w:bottom w:w="45" w:type="dxa"/>
              <w:right w:w="85" w:type="dxa"/>
            </w:tcMar>
          </w:tcPr>
          <w:p>
            <w:pPr>
              <w:spacing w:after="0" w:before="0"/>
            </w:pPr>
            <w:r>
              <w:rPr>
                <w:b w:val="0"/>
                <w:color w:val="33414F"/>
                <w:sz w:val="16"/>
              </w:rPr>
              <w:t xml:space="preserve">Keep af-south-1 (interim)</w:t>
            </w:r>
          </w:p>
        </w:tc>
        <w:tc>
          <w:tcPr>
            <w:tcW w:w="1750" w:type="dxa"/>
            <w:tcMar>
              <w:top w:w="45" w:type="dxa"/>
              <w:left w:w="85" w:type="dxa"/>
              <w:bottom w:w="45" w:type="dxa"/>
              <w:right w:w="85" w:type="dxa"/>
            </w:tcMar>
          </w:tcPr>
          <w:p>
            <w:pPr>
              <w:spacing w:after="0" w:before="0"/>
            </w:pPr>
            <w:r>
              <w:rPr>
                <w:b w:val="0"/>
                <w:color w:val="33414F"/>
                <w:sz w:val="16"/>
              </w:rPr>
              <w:t xml:space="preserve">Ionity Intranet</w:t>
            </w:r>
          </w:p>
        </w:tc>
        <w:tc>
          <w:tcPr>
            <w:tcW w:w="1750" w:type="dxa"/>
            <w:tcMar>
              <w:top w:w="45" w:type="dxa"/>
              <w:left w:w="85" w:type="dxa"/>
              <w:bottom w:w="45" w:type="dxa"/>
              <w:right w:w="85" w:type="dxa"/>
            </w:tcMar>
          </w:tcPr>
          <w:p>
            <w:pPr>
              <w:spacing w:after="0" w:before="0"/>
            </w:pPr>
            <w:r>
              <w:rPr>
                <w:b w:val="0"/>
                <w:color w:val="33414F"/>
                <w:sz w:val="16"/>
              </w:rPr>
              <w:t xml:space="preserve">Store-published PWA</w:t>
            </w:r>
          </w:p>
        </w:tc>
      </w:tr>
      <w:tr>
        <w:tc>
          <w:tcPr>
            <w:tcW w:w="1750" w:type="dxa"/>
            <w:tcMar>
              <w:top w:w="45" w:type="dxa"/>
              <w:left w:w="85" w:type="dxa"/>
              <w:bottom w:w="45" w:type="dxa"/>
              <w:right w:w="85" w:type="dxa"/>
            </w:tcMar>
          </w:tcPr>
          <w:p>
            <w:pPr>
              <w:spacing w:after="0" w:before="0"/>
            </w:pPr>
            <w:r>
              <w:rPr>
                <w:b w:val="0"/>
                <w:color w:val="33414F"/>
                <w:sz w:val="16"/>
              </w:rPr>
              <w:t xml:space="preserve">Microsoft 365</w:t>
            </w:r>
          </w:p>
        </w:tc>
        <w:tc>
          <w:tcPr>
            <w:tcW w:w="2450" w:type="dxa"/>
            <w:tcMar>
              <w:top w:w="45" w:type="dxa"/>
              <w:left w:w="85" w:type="dxa"/>
              <w:bottom w:w="45" w:type="dxa"/>
              <w:right w:w="85" w:type="dxa"/>
            </w:tcMar>
          </w:tcPr>
          <w:p>
            <w:pPr>
              <w:spacing w:after="0" w:before="0"/>
            </w:pPr>
            <w:r>
              <w:rPr>
                <w:b w:val="0"/>
                <w:color w:val="33414F"/>
                <w:sz w:val="16"/>
              </w:rPr>
              <w:t xml:space="preserve">Retained Azure backbone</w:t>
            </w:r>
          </w:p>
        </w:tc>
        <w:tc>
          <w:tcPr>
            <w:tcW w:w="1750" w:type="dxa"/>
            <w:tcMar>
              <w:top w:w="45" w:type="dxa"/>
              <w:left w:w="85" w:type="dxa"/>
              <w:bottom w:w="45" w:type="dxa"/>
              <w:right w:w="85" w:type="dxa"/>
            </w:tcMar>
          </w:tcPr>
          <w:p>
            <w:pPr>
              <w:spacing w:after="0" w:before="0"/>
            </w:pPr>
            <w:r>
              <w:rPr>
                <w:b w:val="0"/>
                <w:color w:val="33414F"/>
                <w:sz w:val="16"/>
              </w:rPr>
              <w:t xml:space="preserve">Google Workspace</w:t>
            </w:r>
          </w:p>
        </w:tc>
        <w:tc>
          <w:tcPr>
            <w:tcW w:w="1750" w:type="dxa"/>
            <w:tcMar>
              <w:top w:w="45" w:type="dxa"/>
              <w:left w:w="85" w:type="dxa"/>
              <w:bottom w:w="45" w:type="dxa"/>
              <w:right w:w="85" w:type="dxa"/>
            </w:tcMar>
          </w:tcPr>
          <w:p>
            <w:pPr>
              <w:spacing w:after="0" w:before="0"/>
            </w:pPr>
            <w:r>
              <w:rPr>
                <w:b w:val="0"/>
                <w:color w:val="33414F"/>
                <w:sz w:val="16"/>
              </w:rPr>
              <w:t xml:space="preserve">Zoho Workplace</w:t>
            </w:r>
          </w:p>
        </w:tc>
        <w:tc>
          <w:tcPr>
            <w:tcW w:w="1750" w:type="dxa"/>
            <w:tcMar>
              <w:top w:w="45" w:type="dxa"/>
              <w:left w:w="85" w:type="dxa"/>
              <w:bottom w:w="45" w:type="dxa"/>
              <w:right w:w="85" w:type="dxa"/>
            </w:tcMar>
          </w:tcPr>
          <w:p>
            <w:pPr>
              <w:spacing w:after="0" w:before="0"/>
            </w:pPr>
            <w:r>
              <w:rPr>
                <w:b w:val="0"/>
                <w:color w:val="33414F"/>
                <w:sz w:val="16"/>
              </w:rPr>
              <w:t xml:space="preserve">Nextcloud</w:t>
            </w:r>
          </w:p>
        </w:tc>
      </w:tr>
      <w:tr>
        <w:tc>
          <w:tcPr>
            <w:tcW w:w="1750" w:type="dxa"/>
            <w:tcMar>
              <w:top w:w="45" w:type="dxa"/>
              <w:left w:w="85" w:type="dxa"/>
              <w:bottom w:w="45" w:type="dxa"/>
              <w:right w:w="85" w:type="dxa"/>
            </w:tcMar>
          </w:tcPr>
          <w:p>
            <w:pPr>
              <w:spacing w:after="0" w:before="0"/>
            </w:pPr>
            <w:r>
              <w:rPr>
                <w:b w:val="0"/>
                <w:color w:val="33414F"/>
                <w:sz w:val="16"/>
              </w:rPr>
              <w:t xml:space="preserve">Snipe-IT (dormant)</w:t>
            </w:r>
          </w:p>
        </w:tc>
        <w:tc>
          <w:tcPr>
            <w:tcW w:w="2450" w:type="dxa"/>
            <w:tcMar>
              <w:top w:w="45" w:type="dxa"/>
              <w:left w:w="85" w:type="dxa"/>
              <w:bottom w:w="45" w:type="dxa"/>
              <w:right w:w="85" w:type="dxa"/>
            </w:tcMar>
          </w:tcPr>
          <w:p>
            <w:pPr>
              <w:spacing w:after="0" w:before="0"/>
            </w:pPr>
            <w:r>
              <w:rPr>
                <w:b w:val="0"/>
                <w:color w:val="33414F"/>
                <w:sz w:val="16"/>
              </w:rPr>
              <w:t xml:space="preserve">RETIRE — register into Sage X3</w:t>
            </w:r>
          </w:p>
        </w:tc>
        <w:tc>
          <w:tcPr>
            <w:tcW w:w="1750" w:type="dxa"/>
            <w:tcMar>
              <w:top w:w="45" w:type="dxa"/>
              <w:left w:w="85" w:type="dxa"/>
              <w:bottom w:w="45" w:type="dxa"/>
              <w:right w:w="85" w:type="dxa"/>
            </w:tcMar>
          </w:tcPr>
          <w:p>
            <w:pPr>
              <w:spacing w:after="0" w:before="0"/>
            </w:pPr>
            <w:r>
              <w:rPr>
                <w:b w:val="0"/>
                <w:color w:val="33414F"/>
                <w:sz w:val="16"/>
              </w:rPr>
              <w:t xml:space="preserve">Self-host Snipe-IT on cluster</w:t>
            </w:r>
          </w:p>
        </w:tc>
        <w:tc>
          <w:tcPr>
            <w:tcW w:w="1750" w:type="dxa"/>
            <w:tcMar>
              <w:top w:w="45" w:type="dxa"/>
              <w:left w:w="85" w:type="dxa"/>
              <w:bottom w:w="45" w:type="dxa"/>
              <w:right w:w="85" w:type="dxa"/>
            </w:tcMar>
          </w:tcPr>
          <w:p>
            <w:pPr>
              <w:spacing w:after="0" w:before="0"/>
            </w:pPr>
            <w:r>
              <w:rPr>
                <w:b w:val="0"/>
                <w:color w:val="33414F"/>
                <w:sz w:val="16"/>
              </w:rPr>
              <w:t xml:space="preserve">GLPI</w:t>
            </w:r>
          </w:p>
        </w:tc>
        <w:tc>
          <w:tcPr>
            <w:tcW w:w="1750" w:type="dxa"/>
            <w:tcMar>
              <w:top w:w="45" w:type="dxa"/>
              <w:left w:w="85" w:type="dxa"/>
              <w:bottom w:w="45" w:type="dxa"/>
              <w:right w:w="85" w:type="dxa"/>
            </w:tcMar>
          </w:tcPr>
          <w:p>
            <w:pPr>
              <w:spacing w:after="0" w:before="0"/>
            </w:pPr>
            <w:r>
              <w:rPr>
                <w:b w:val="0"/>
                <w:color w:val="33414F"/>
                <w:sz w:val="16"/>
              </w:rPr>
              <w:t xml:space="preserve">AssetTiger</w:t>
            </w:r>
          </w:p>
        </w:tc>
      </w:tr>
      <w:tr>
        <w:tc>
          <w:tcPr>
            <w:tcW w:w="1750" w:type="dxa"/>
            <w:tcMar>
              <w:top w:w="45" w:type="dxa"/>
              <w:left w:w="85" w:type="dxa"/>
              <w:bottom w:w="45" w:type="dxa"/>
              <w:right w:w="85" w:type="dxa"/>
            </w:tcMar>
          </w:tcPr>
          <w:p>
            <w:pPr>
              <w:spacing w:after="0" w:before="0"/>
            </w:pPr>
            <w:r>
              <w:rPr>
                <w:b w:val="0"/>
                <w:color w:val="33414F"/>
                <w:sz w:val="16"/>
              </w:rPr>
              <w:t xml:space="preserve">FreshService</w:t>
            </w:r>
          </w:p>
        </w:tc>
        <w:tc>
          <w:tcPr>
            <w:tcW w:w="2450" w:type="dxa"/>
            <w:tcMar>
              <w:top w:w="45" w:type="dxa"/>
              <w:left w:w="85" w:type="dxa"/>
              <w:bottom w:w="45" w:type="dxa"/>
              <w:right w:w="85" w:type="dxa"/>
            </w:tcMar>
          </w:tcPr>
          <w:p>
            <w:pPr>
              <w:spacing w:after="0" w:before="0"/>
            </w:pPr>
            <w:r>
              <w:rPr>
                <w:b w:val="0"/>
                <w:color w:val="33414F"/>
                <w:sz w:val="16"/>
              </w:rPr>
              <w:t xml:space="preserve">Keep — lakehouse connector</w:t>
            </w:r>
          </w:p>
        </w:tc>
        <w:tc>
          <w:tcPr>
            <w:tcW w:w="1750" w:type="dxa"/>
            <w:tcMar>
              <w:top w:w="45" w:type="dxa"/>
              <w:left w:w="85" w:type="dxa"/>
              <w:bottom w:w="45" w:type="dxa"/>
              <w:right w:w="85" w:type="dxa"/>
            </w:tcMar>
          </w:tcPr>
          <w:p>
            <w:pPr>
              <w:spacing w:after="0" w:before="0"/>
            </w:pPr>
            <w:r>
              <w:rPr>
                <w:b w:val="0"/>
                <w:color w:val="33414F"/>
                <w:sz w:val="16"/>
              </w:rPr>
              <w:t xml:space="preserve">Jira Service Mgmt</w:t>
            </w:r>
          </w:p>
        </w:tc>
        <w:tc>
          <w:tcPr>
            <w:tcW w:w="1750" w:type="dxa"/>
            <w:tcMar>
              <w:top w:w="45" w:type="dxa"/>
              <w:left w:w="85" w:type="dxa"/>
              <w:bottom w:w="45" w:type="dxa"/>
              <w:right w:w="85" w:type="dxa"/>
            </w:tcMar>
          </w:tcPr>
          <w:p>
            <w:pPr>
              <w:spacing w:after="0" w:before="0"/>
            </w:pPr>
            <w:r>
              <w:rPr>
                <w:b w:val="0"/>
                <w:color w:val="33414F"/>
                <w:sz w:val="16"/>
              </w:rPr>
              <w:t xml:space="preserve">Zoho Desk</w:t>
            </w:r>
          </w:p>
        </w:tc>
        <w:tc>
          <w:tcPr>
            <w:tcW w:w="1750" w:type="dxa"/>
            <w:tcMar>
              <w:top w:w="45" w:type="dxa"/>
              <w:left w:w="85" w:type="dxa"/>
              <w:bottom w:w="45" w:type="dxa"/>
              <w:right w:w="85" w:type="dxa"/>
            </w:tcMar>
          </w:tcPr>
          <w:p>
            <w:pPr>
              <w:spacing w:after="0" w:before="0"/>
            </w:pPr>
            <w:r>
              <w:rPr>
                <w:b w:val="0"/>
                <w:color w:val="33414F"/>
                <w:sz w:val="16"/>
              </w:rPr>
              <w:t xml:space="preserve">GLPI</w:t>
            </w:r>
          </w:p>
        </w:tc>
      </w:tr>
      <w:tr>
        <w:tc>
          <w:tcPr>
            <w:tcW w:w="1750" w:type="dxa"/>
            <w:tcMar>
              <w:top w:w="45" w:type="dxa"/>
              <w:left w:w="85" w:type="dxa"/>
              <w:bottom w:w="45" w:type="dxa"/>
              <w:right w:w="85" w:type="dxa"/>
            </w:tcMar>
          </w:tcPr>
          <w:p>
            <w:pPr>
              <w:spacing w:after="0" w:before="0"/>
            </w:pPr>
            <w:r>
              <w:rPr>
                <w:b w:val="0"/>
                <w:color w:val="33414F"/>
                <w:sz w:val="16"/>
              </w:rPr>
              <w:t xml:space="preserve">Mimecast</w:t>
            </w:r>
          </w:p>
        </w:tc>
        <w:tc>
          <w:tcPr>
            <w:tcW w:w="2450" w:type="dxa"/>
            <w:tcMar>
              <w:top w:w="45" w:type="dxa"/>
              <w:left w:w="85" w:type="dxa"/>
              <w:bottom w:w="45" w:type="dxa"/>
              <w:right w:w="85" w:type="dxa"/>
            </w:tcMar>
          </w:tcPr>
          <w:p>
            <w:pPr>
              <w:spacing w:after="0" w:before="0"/>
            </w:pPr>
            <w:r>
              <w:rPr>
                <w:b w:val="0"/>
                <w:color w:val="33414F"/>
                <w:sz w:val="16"/>
              </w:rPr>
              <w:t xml:space="preserve">EXIT — Azure Defender / Jura</w:t>
            </w:r>
          </w:p>
        </w:tc>
        <w:tc>
          <w:tcPr>
            <w:tcW w:w="1750" w:type="dxa"/>
            <w:tcMar>
              <w:top w:w="45" w:type="dxa"/>
              <w:left w:w="85" w:type="dxa"/>
              <w:bottom w:w="45" w:type="dxa"/>
              <w:right w:w="85" w:type="dxa"/>
            </w:tcMar>
          </w:tcPr>
          <w:p>
            <w:pPr>
              <w:spacing w:after="0" w:before="0"/>
            </w:pPr>
            <w:r>
              <w:rPr>
                <w:b w:val="0"/>
                <w:color w:val="33414F"/>
                <w:sz w:val="16"/>
              </w:rPr>
              <w:t xml:space="preserve">Proofpoint</w:t>
            </w:r>
          </w:p>
        </w:tc>
        <w:tc>
          <w:tcPr>
            <w:tcW w:w="1750" w:type="dxa"/>
            <w:tcMar>
              <w:top w:w="45" w:type="dxa"/>
              <w:left w:w="85" w:type="dxa"/>
              <w:bottom w:w="45" w:type="dxa"/>
              <w:right w:w="85" w:type="dxa"/>
            </w:tcMar>
          </w:tcPr>
          <w:p>
            <w:pPr>
              <w:spacing w:after="0" w:before="0"/>
            </w:pPr>
            <w:r>
              <w:rPr>
                <w:b w:val="0"/>
                <w:color w:val="33414F"/>
                <w:sz w:val="16"/>
              </w:rPr>
              <w:t xml:space="preserve">Barracuda</w:t>
            </w:r>
          </w:p>
        </w:tc>
        <w:tc>
          <w:tcPr>
            <w:tcW w:w="1750" w:type="dxa"/>
            <w:tcMar>
              <w:top w:w="45" w:type="dxa"/>
              <w:left w:w="85" w:type="dxa"/>
              <w:bottom w:w="45" w:type="dxa"/>
              <w:right w:w="85" w:type="dxa"/>
            </w:tcMar>
          </w:tcPr>
          <w:p>
            <w:pPr>
              <w:spacing w:after="0" w:before="0"/>
            </w:pPr>
            <w:r>
              <w:rPr>
                <w:b w:val="0"/>
                <w:color w:val="33414F"/>
                <w:sz w:val="16"/>
              </w:rPr>
              <w:t xml:space="preserve">Mailcow + rspamd</w:t>
            </w:r>
          </w:p>
        </w:tc>
      </w:tr>
      <w:tr>
        <w:tc>
          <w:tcPr>
            <w:tcW w:w="1750" w:type="dxa"/>
            <w:tcMar>
              <w:top w:w="45" w:type="dxa"/>
              <w:left w:w="85" w:type="dxa"/>
              <w:bottom w:w="45" w:type="dxa"/>
              <w:right w:w="85" w:type="dxa"/>
            </w:tcMar>
          </w:tcPr>
          <w:p>
            <w:pPr>
              <w:spacing w:after="0" w:before="0"/>
            </w:pPr>
            <w:r>
              <w:rPr>
                <w:b w:val="0"/>
                <w:color w:val="33414F"/>
                <w:sz w:val="16"/>
              </w:rPr>
              <w:t xml:space="preserve">ShoutLink (dormant)</w:t>
            </w:r>
          </w:p>
        </w:tc>
        <w:tc>
          <w:tcPr>
            <w:tcW w:w="2450" w:type="dxa"/>
            <w:tcMar>
              <w:top w:w="45" w:type="dxa"/>
              <w:left w:w="85" w:type="dxa"/>
              <w:bottom w:w="45" w:type="dxa"/>
              <w:right w:w="85" w:type="dxa"/>
            </w:tcMar>
          </w:tcPr>
          <w:p>
            <w:pPr>
              <w:spacing w:after="0" w:before="0"/>
            </w:pPr>
            <w:r>
              <w:rPr>
                <w:b w:val="0"/>
                <w:color w:val="33414F"/>
                <w:sz w:val="16"/>
              </w:rPr>
              <w:t xml:space="preserve">RETIRE — verify, evidence, terminate</w:t>
            </w:r>
          </w:p>
        </w:tc>
        <w:tc>
          <w:tcPr>
            <w:tcW w:w="1750" w:type="dxa"/>
            <w:tcMar>
              <w:top w:w="45" w:type="dxa"/>
              <w:left w:w="85" w:type="dxa"/>
              <w:bottom w:w="45" w:type="dxa"/>
              <w:right w:w="85" w:type="dxa"/>
            </w:tcMar>
          </w:tcPr>
          <w:p>
            <w:pPr>
              <w:spacing w:after="0" w:before="0"/>
            </w:pPr>
            <w:r>
              <w:rPr>
                <w:b w:val="0"/>
                <w:color w:val="33414F"/>
                <w:sz w:val="16"/>
              </w:rPr>
              <w:t xml:space="preserve">Archive to lakehouse</w:t>
            </w:r>
          </w:p>
        </w:tc>
        <w:tc>
          <w:tcPr>
            <w:tcW w:w="1750" w:type="dxa"/>
            <w:tcMar>
              <w:top w:w="45" w:type="dxa"/>
              <w:left w:w="85" w:type="dxa"/>
              <w:bottom w:w="45" w:type="dxa"/>
              <w:right w:w="85" w:type="dxa"/>
            </w:tcMar>
          </w:tcPr>
          <w:p>
            <w:pPr>
              <w:spacing w:after="0" w:before="0"/>
            </w:pPr>
            <w:r>
              <w:rPr>
                <w:b w:val="0"/>
                <w:color w:val="33414F"/>
                <w:sz w:val="16"/>
              </w:rPr>
              <w:t xml:space="preserve">Static export</w:t>
            </w:r>
          </w:p>
        </w:tc>
        <w:tc>
          <w:tcPr>
            <w:tcW w:w="1750" w:type="dxa"/>
            <w:tcMar>
              <w:top w:w="45" w:type="dxa"/>
              <w:left w:w="85" w:type="dxa"/>
              <w:bottom w:w="45" w:type="dxa"/>
              <w:right w:w="85" w:type="dxa"/>
            </w:tcMar>
          </w:tcPr>
          <w:p>
            <w:pPr>
              <w:spacing w:after="0" w:before="0"/>
            </w:pPr>
            <w:r>
              <w:rPr>
                <w:b w:val="0"/>
                <w:color w:val="33414F"/>
                <w:sz w:val="16"/>
              </w:rPr>
              <w:t xml:space="preserve">—</w:t>
            </w:r>
          </w:p>
        </w:tc>
      </w:tr>
      <w:tr>
        <w:tc>
          <w:tcPr>
            <w:tcW w:w="1750" w:type="dxa"/>
            <w:tcMar>
              <w:top w:w="45" w:type="dxa"/>
              <w:left w:w="85" w:type="dxa"/>
              <w:bottom w:w="45" w:type="dxa"/>
              <w:right w:w="85" w:type="dxa"/>
            </w:tcMar>
          </w:tcPr>
          <w:p>
            <w:pPr>
              <w:spacing w:after="0" w:before="0"/>
            </w:pPr>
            <w:r>
              <w:rPr>
                <w:b w:val="0"/>
                <w:color w:val="33414F"/>
                <w:sz w:val="16"/>
              </w:rPr>
              <w:t xml:space="preserve">Public web (WordPress)</w:t>
            </w:r>
          </w:p>
        </w:tc>
        <w:tc>
          <w:tcPr>
            <w:tcW w:w="2450" w:type="dxa"/>
            <w:tcMar>
              <w:top w:w="45" w:type="dxa"/>
              <w:left w:w="85" w:type="dxa"/>
              <w:bottom w:w="45" w:type="dxa"/>
              <w:right w:w="85" w:type="dxa"/>
            </w:tcMar>
          </w:tcPr>
          <w:p>
            <w:pPr>
              <w:spacing w:after="0" w:before="0"/>
            </w:pPr>
            <w:r>
              <w:rPr>
                <w:b w:val="0"/>
                <w:color w:val="33414F"/>
                <w:sz w:val="16"/>
              </w:rPr>
              <w:t xml:space="preserve">Ionity Intranet — SA-resident</w:t>
            </w:r>
          </w:p>
        </w:tc>
        <w:tc>
          <w:tcPr>
            <w:tcW w:w="1750" w:type="dxa"/>
            <w:tcMar>
              <w:top w:w="45" w:type="dxa"/>
              <w:left w:w="85" w:type="dxa"/>
              <w:bottom w:w="45" w:type="dxa"/>
              <w:right w:w="85" w:type="dxa"/>
            </w:tcMar>
          </w:tcPr>
          <w:p>
            <w:pPr>
              <w:spacing w:after="0" w:before="0"/>
            </w:pPr>
            <w:r>
              <w:rPr>
                <w:b w:val="0"/>
                <w:color w:val="33414F"/>
                <w:sz w:val="16"/>
              </w:rPr>
              <w:t xml:space="preserve">Azure App Service*</w:t>
            </w:r>
          </w:p>
        </w:tc>
        <w:tc>
          <w:tcPr>
            <w:tcW w:w="1750" w:type="dxa"/>
            <w:tcMar>
              <w:top w:w="45" w:type="dxa"/>
              <w:left w:w="85" w:type="dxa"/>
              <w:bottom w:w="45" w:type="dxa"/>
              <w:right w:w="85" w:type="dxa"/>
            </w:tcMar>
          </w:tcPr>
          <w:p>
            <w:pPr>
              <w:spacing w:after="0" w:before="0"/>
            </w:pPr>
            <w:r>
              <w:rPr>
                <w:b w:val="0"/>
                <w:color w:val="33414F"/>
                <w:sz w:val="16"/>
              </w:rPr>
              <w:t xml:space="preserve">Afrihost (SA)</w:t>
            </w:r>
          </w:p>
        </w:tc>
        <w:tc>
          <w:tcPr>
            <w:tcW w:w="1750" w:type="dxa"/>
            <w:tcMar>
              <w:top w:w="45" w:type="dxa"/>
              <w:left w:w="85" w:type="dxa"/>
              <w:bottom w:w="45" w:type="dxa"/>
              <w:right w:w="85" w:type="dxa"/>
            </w:tcMar>
          </w:tcPr>
          <w:p>
            <w:pPr>
              <w:spacing w:after="0" w:before="0"/>
            </w:pPr>
            <w:r>
              <w:rPr>
                <w:b w:val="0"/>
                <w:color w:val="33414F"/>
                <w:sz w:val="16"/>
              </w:rPr>
              <w:t xml:space="preserve">Static site (Hugo)</w:t>
            </w:r>
          </w:p>
        </w:tc>
      </w:tr>
      <w:tr>
        <w:tc>
          <w:tcPr>
            <w:tcW w:w="1750" w:type="dxa"/>
            <w:tcMar>
              <w:top w:w="45" w:type="dxa"/>
              <w:left w:w="85" w:type="dxa"/>
              <w:bottom w:w="45" w:type="dxa"/>
              <w:right w:w="85" w:type="dxa"/>
            </w:tcMar>
          </w:tcPr>
          <w:p>
            <w:pPr>
              <w:spacing w:after="0" w:before="0"/>
            </w:pPr>
            <w:r>
              <w:rPr>
                <w:b w:val="0"/>
                <w:color w:val="33414F"/>
                <w:sz w:val="16"/>
              </w:rPr>
              <w:t xml:space="preserve">Sage Evolution</w:t>
            </w:r>
          </w:p>
        </w:tc>
        <w:tc>
          <w:tcPr>
            <w:tcW w:w="2450" w:type="dxa"/>
            <w:tcMar>
              <w:top w:w="45" w:type="dxa"/>
              <w:left w:w="85" w:type="dxa"/>
              <w:bottom w:w="45" w:type="dxa"/>
              <w:right w:w="85" w:type="dxa"/>
            </w:tcMar>
          </w:tcPr>
          <w:p>
            <w:pPr>
              <w:spacing w:after="0" w:before="0"/>
            </w:pPr>
            <w:r>
              <w:rPr>
                <w:b w:val="0"/>
                <w:color w:val="33414F"/>
                <w:sz w:val="16"/>
              </w:rPr>
              <w:t xml:space="preserve">Sage X3</w:t>
            </w:r>
          </w:p>
        </w:tc>
        <w:tc>
          <w:tcPr>
            <w:tcW w:w="1750" w:type="dxa"/>
            <w:tcMar>
              <w:top w:w="45" w:type="dxa"/>
              <w:left w:w="85" w:type="dxa"/>
              <w:bottom w:w="45" w:type="dxa"/>
              <w:right w:w="85" w:type="dxa"/>
            </w:tcMar>
          </w:tcPr>
          <w:p>
            <w:pPr>
              <w:spacing w:after="0" w:before="0"/>
            </w:pPr>
            <w:r>
              <w:rPr>
                <w:b w:val="0"/>
                <w:color w:val="33414F"/>
                <w:sz w:val="16"/>
              </w:rPr>
              <w:t xml:space="preserve">Dynamics 365 BC</w:t>
            </w:r>
          </w:p>
        </w:tc>
        <w:tc>
          <w:tcPr>
            <w:tcW w:w="1750" w:type="dxa"/>
            <w:tcMar>
              <w:top w:w="45" w:type="dxa"/>
              <w:left w:w="85" w:type="dxa"/>
              <w:bottom w:w="45" w:type="dxa"/>
              <w:right w:w="85" w:type="dxa"/>
            </w:tcMar>
          </w:tcPr>
          <w:p>
            <w:pPr>
              <w:spacing w:after="0" w:before="0"/>
            </w:pPr>
            <w:r>
              <w:rPr>
                <w:b w:val="0"/>
                <w:color w:val="33414F"/>
                <w:sz w:val="16"/>
              </w:rPr>
              <w:t xml:space="preserve">Odoo</w:t>
            </w:r>
          </w:p>
        </w:tc>
        <w:tc>
          <w:tcPr>
            <w:tcW w:w="1750" w:type="dxa"/>
            <w:tcMar>
              <w:top w:w="45" w:type="dxa"/>
              <w:left w:w="85" w:type="dxa"/>
              <w:bottom w:w="45" w:type="dxa"/>
              <w:right w:w="85" w:type="dxa"/>
            </w:tcMar>
          </w:tcPr>
          <w:p>
            <w:pPr>
              <w:spacing w:after="0" w:before="0"/>
            </w:pPr>
            <w:r>
              <w:rPr>
                <w:b w:val="0"/>
                <w:color w:val="33414F"/>
                <w:sz w:val="16"/>
              </w:rPr>
              <w:t xml:space="preserve">Xero</w:t>
            </w:r>
          </w:p>
        </w:tc>
      </w:tr>
      <w:tr>
        <w:tc>
          <w:tcPr>
            <w:tcW w:w="1750" w:type="dxa"/>
            <w:tcMar>
              <w:top w:w="45" w:type="dxa"/>
              <w:left w:w="85" w:type="dxa"/>
              <w:bottom w:w="45" w:type="dxa"/>
              <w:right w:w="85" w:type="dxa"/>
            </w:tcMar>
          </w:tcPr>
          <w:p>
            <w:pPr>
              <w:spacing w:after="0" w:before="0"/>
            </w:pPr>
            <w:r>
              <w:rPr>
                <w:b w:val="0"/>
                <w:color w:val="33414F"/>
                <w:sz w:val="16"/>
              </w:rPr>
              <w:t xml:space="preserve">Fusion (Neurasoft)</w:t>
            </w:r>
          </w:p>
        </w:tc>
        <w:tc>
          <w:tcPr>
            <w:tcW w:w="2450" w:type="dxa"/>
            <w:tcMar>
              <w:top w:w="45" w:type="dxa"/>
              <w:left w:w="85" w:type="dxa"/>
              <w:bottom w:w="45" w:type="dxa"/>
              <w:right w:w="85" w:type="dxa"/>
            </w:tcMar>
          </w:tcPr>
          <w:p>
            <w:pPr>
              <w:spacing w:after="0" w:before="0"/>
            </w:pPr>
            <w:r>
              <w:rPr>
                <w:b w:val="0"/>
                <w:color w:val="33414F"/>
                <w:sz w:val="16"/>
              </w:rPr>
              <w:t xml:space="preserve">Sage X3</w:t>
            </w:r>
          </w:p>
        </w:tc>
        <w:tc>
          <w:tcPr>
            <w:tcW w:w="1750" w:type="dxa"/>
            <w:tcMar>
              <w:top w:w="45" w:type="dxa"/>
              <w:left w:w="85" w:type="dxa"/>
              <w:bottom w:w="45" w:type="dxa"/>
              <w:right w:w="85" w:type="dxa"/>
            </w:tcMar>
          </w:tcPr>
          <w:p>
            <w:pPr>
              <w:spacing w:after="0" w:before="0"/>
            </w:pPr>
            <w:r>
              <w:rPr>
                <w:b w:val="0"/>
                <w:color w:val="33414F"/>
                <w:sz w:val="16"/>
              </w:rPr>
              <w:t xml:space="preserve">Odoo</w:t>
            </w:r>
          </w:p>
        </w:tc>
        <w:tc>
          <w:tcPr>
            <w:tcW w:w="1750" w:type="dxa"/>
            <w:tcMar>
              <w:top w:w="45" w:type="dxa"/>
              <w:left w:w="85" w:type="dxa"/>
              <w:bottom w:w="45" w:type="dxa"/>
              <w:right w:w="85" w:type="dxa"/>
            </w:tcMar>
          </w:tcPr>
          <w:p>
            <w:pPr>
              <w:spacing w:after="0" w:before="0"/>
            </w:pPr>
            <w:r>
              <w:rPr>
                <w:b w:val="0"/>
                <w:color w:val="33414F"/>
                <w:sz w:val="16"/>
              </w:rPr>
              <w:t xml:space="preserve">ERPNext</w:t>
            </w:r>
          </w:p>
        </w:tc>
        <w:tc>
          <w:tcPr>
            <w:tcW w:w="1750" w:type="dxa"/>
            <w:tcMar>
              <w:top w:w="45" w:type="dxa"/>
              <w:left w:w="85" w:type="dxa"/>
              <w:bottom w:w="45" w:type="dxa"/>
              <w:right w:w="85" w:type="dxa"/>
            </w:tcMar>
          </w:tcPr>
          <w:p>
            <w:pPr>
              <w:spacing w:after="0" w:before="0"/>
            </w:pPr>
            <w:r>
              <w:rPr>
                <w:b w:val="0"/>
                <w:color w:val="33414F"/>
                <w:sz w:val="16"/>
              </w:rPr>
              <w:t xml:space="preserve">Zoho Books</w:t>
            </w:r>
          </w:p>
        </w:tc>
      </w:tr>
      <w:tr>
        <w:tc>
          <w:tcPr>
            <w:tcW w:w="1750" w:type="dxa"/>
            <w:tcMar>
              <w:top w:w="45" w:type="dxa"/>
              <w:left w:w="85" w:type="dxa"/>
              <w:bottom w:w="45" w:type="dxa"/>
              <w:right w:w="85" w:type="dxa"/>
            </w:tcMar>
          </w:tcPr>
          <w:p>
            <w:pPr>
              <w:spacing w:after="0" w:before="0"/>
            </w:pPr>
            <w:r>
              <w:rPr>
                <w:b w:val="0"/>
                <w:color w:val="33414F"/>
                <w:sz w:val="16"/>
              </w:rPr>
              <w:t xml:space="preserve">CaseWare</w:t>
            </w:r>
          </w:p>
        </w:tc>
        <w:tc>
          <w:tcPr>
            <w:tcW w:w="2450" w:type="dxa"/>
            <w:tcMar>
              <w:top w:w="45" w:type="dxa"/>
              <w:left w:w="85" w:type="dxa"/>
              <w:bottom w:w="45" w:type="dxa"/>
              <w:right w:w="85" w:type="dxa"/>
            </w:tcMar>
          </w:tcPr>
          <w:p>
            <w:pPr>
              <w:spacing w:after="0" w:before="0"/>
            </w:pPr>
            <w:r>
              <w:rPr>
                <w:b w:val="0"/>
                <w:color w:val="33414F"/>
                <w:sz w:val="16"/>
              </w:rPr>
              <w:t xml:space="preserve">Integrate / report from Sage X3</w:t>
            </w:r>
          </w:p>
        </w:tc>
        <w:tc>
          <w:tcPr>
            <w:tcW w:w="1750" w:type="dxa"/>
            <w:tcMar>
              <w:top w:w="45" w:type="dxa"/>
              <w:left w:w="85" w:type="dxa"/>
              <w:bottom w:w="45" w:type="dxa"/>
              <w:right w:w="85" w:type="dxa"/>
            </w:tcMar>
          </w:tcPr>
          <w:p>
            <w:pPr>
              <w:spacing w:after="0" w:before="0"/>
            </w:pPr>
            <w:r>
              <w:rPr>
                <w:b w:val="0"/>
                <w:color w:val="33414F"/>
                <w:sz w:val="16"/>
              </w:rPr>
              <w:t xml:space="preserve">Draftworx</w:t>
            </w:r>
          </w:p>
        </w:tc>
        <w:tc>
          <w:tcPr>
            <w:tcW w:w="1750" w:type="dxa"/>
            <w:tcMar>
              <w:top w:w="45" w:type="dxa"/>
              <w:left w:w="85" w:type="dxa"/>
              <w:bottom w:w="45" w:type="dxa"/>
              <w:right w:w="85" w:type="dxa"/>
            </w:tcMar>
          </w:tcPr>
          <w:p>
            <w:pPr>
              <w:spacing w:after="0" w:before="0"/>
            </w:pPr>
            <w:r>
              <w:rPr>
                <w:b w:val="0"/>
                <w:color w:val="33414F"/>
                <w:sz w:val="16"/>
              </w:rPr>
              <w:t xml:space="preserve">Workiva</w:t>
            </w:r>
          </w:p>
        </w:tc>
        <w:tc>
          <w:tcPr>
            <w:tcW w:w="1750" w:type="dxa"/>
            <w:tcMar>
              <w:top w:w="45" w:type="dxa"/>
              <w:left w:w="85" w:type="dxa"/>
              <w:bottom w:w="45" w:type="dxa"/>
              <w:right w:w="85" w:type="dxa"/>
            </w:tcMar>
          </w:tcPr>
          <w:p>
            <w:pPr>
              <w:spacing w:after="0" w:before="0"/>
            </w:pPr>
            <w:r>
              <w:rPr>
                <w:b w:val="0"/>
                <w:color w:val="33414F"/>
                <w:sz w:val="16"/>
              </w:rPr>
              <w:t xml:space="preserve">Caseware Cloud (keep)</w:t>
            </w:r>
          </w:p>
        </w:tc>
      </w:tr>
      <w:tr>
        <w:tc>
          <w:tcPr>
            <w:tcW w:w="1750" w:type="dxa"/>
            <w:tcMar>
              <w:top w:w="45" w:type="dxa"/>
              <w:left w:w="85" w:type="dxa"/>
              <w:bottom w:w="45" w:type="dxa"/>
              <w:right w:w="85" w:type="dxa"/>
            </w:tcMar>
          </w:tcPr>
          <w:p>
            <w:pPr>
              <w:spacing w:after="0" w:before="0"/>
            </w:pPr>
            <w:r>
              <w:rPr>
                <w:b w:val="0"/>
                <w:color w:val="33414F"/>
                <w:sz w:val="16"/>
              </w:rPr>
              <w:t xml:space="preserve">S-Cube (payroll &amp; T&amp;A)</w:t>
            </w:r>
          </w:p>
        </w:tc>
        <w:tc>
          <w:tcPr>
            <w:tcW w:w="2450" w:type="dxa"/>
            <w:tcMar>
              <w:top w:w="45" w:type="dxa"/>
              <w:left w:w="85" w:type="dxa"/>
              <w:bottom w:w="45" w:type="dxa"/>
              <w:right w:w="85" w:type="dxa"/>
            </w:tcMar>
          </w:tcPr>
          <w:p>
            <w:pPr>
              <w:spacing w:after="0" w:before="0"/>
            </w:pPr>
            <w:r>
              <w:rPr>
                <w:b w:val="0"/>
                <w:color w:val="33414F"/>
                <w:sz w:val="16"/>
              </w:rPr>
              <w:t xml:space="preserve">Sage X3 People path</w:t>
            </w:r>
          </w:p>
        </w:tc>
        <w:tc>
          <w:tcPr>
            <w:tcW w:w="1750" w:type="dxa"/>
            <w:tcMar>
              <w:top w:w="45" w:type="dxa"/>
              <w:left w:w="85" w:type="dxa"/>
              <w:bottom w:w="45" w:type="dxa"/>
              <w:right w:w="85" w:type="dxa"/>
            </w:tcMar>
          </w:tcPr>
          <w:p>
            <w:pPr>
              <w:spacing w:after="0" w:before="0"/>
            </w:pPr>
            <w:r>
              <w:rPr>
                <w:b w:val="0"/>
                <w:color w:val="33414F"/>
                <w:sz w:val="16"/>
              </w:rPr>
              <w:t xml:space="preserve">PaySpace</w:t>
            </w:r>
          </w:p>
        </w:tc>
        <w:tc>
          <w:tcPr>
            <w:tcW w:w="1750" w:type="dxa"/>
            <w:tcMar>
              <w:top w:w="45" w:type="dxa"/>
              <w:left w:w="85" w:type="dxa"/>
              <w:bottom w:w="45" w:type="dxa"/>
              <w:right w:w="85" w:type="dxa"/>
            </w:tcMar>
          </w:tcPr>
          <w:p>
            <w:pPr>
              <w:spacing w:after="0" w:before="0"/>
            </w:pPr>
            <w:r>
              <w:rPr>
                <w:b w:val="0"/>
                <w:color w:val="33414F"/>
                <w:sz w:val="16"/>
              </w:rPr>
              <w:t xml:space="preserve">SimplePay</w:t>
            </w:r>
          </w:p>
        </w:tc>
        <w:tc>
          <w:tcPr>
            <w:tcW w:w="1750" w:type="dxa"/>
            <w:tcMar>
              <w:top w:w="45" w:type="dxa"/>
              <w:left w:w="85" w:type="dxa"/>
              <w:bottom w:w="45" w:type="dxa"/>
              <w:right w:w="85" w:type="dxa"/>
            </w:tcMar>
          </w:tcPr>
          <w:p>
            <w:pPr>
              <w:spacing w:after="0" w:before="0"/>
            </w:pPr>
            <w:r>
              <w:rPr>
                <w:b w:val="0"/>
                <w:color w:val="33414F"/>
                <w:sz w:val="16"/>
              </w:rPr>
              <w:t xml:space="preserve">PayDay</w:t>
            </w:r>
          </w:p>
        </w:tc>
      </w:tr>
      <w:tr>
        <w:tc>
          <w:tcPr>
            <w:tcW w:w="1750" w:type="dxa"/>
            <w:tcMar>
              <w:top w:w="45" w:type="dxa"/>
              <w:left w:w="85" w:type="dxa"/>
              <w:bottom w:w="45" w:type="dxa"/>
              <w:right w:w="85" w:type="dxa"/>
            </w:tcMar>
          </w:tcPr>
          <w:p>
            <w:pPr>
              <w:spacing w:after="0" w:before="0"/>
            </w:pPr>
            <w:r>
              <w:rPr>
                <w:b w:val="0"/>
                <w:color w:val="33414F"/>
                <w:sz w:val="16"/>
              </w:rPr>
              <w:t xml:space="preserve">SSRS</w:t>
            </w:r>
          </w:p>
        </w:tc>
        <w:tc>
          <w:tcPr>
            <w:tcW w:w="2450" w:type="dxa"/>
            <w:tcMar>
              <w:top w:w="45" w:type="dxa"/>
              <w:left w:w="85" w:type="dxa"/>
              <w:bottom w:w="45" w:type="dxa"/>
              <w:right w:w="85" w:type="dxa"/>
            </w:tcMar>
          </w:tcPr>
          <w:p>
            <w:pPr>
              <w:spacing w:after="0" w:before="0"/>
            </w:pPr>
            <w:r>
              <w:rPr>
                <w:b w:val="0"/>
                <w:color w:val="33414F"/>
                <w:sz w:val="16"/>
              </w:rPr>
              <w:t xml:space="preserve">Power BI over Gold layer</w:t>
            </w:r>
          </w:p>
        </w:tc>
        <w:tc>
          <w:tcPr>
            <w:tcW w:w="1750" w:type="dxa"/>
            <w:tcMar>
              <w:top w:w="45" w:type="dxa"/>
              <w:left w:w="85" w:type="dxa"/>
              <w:bottom w:w="45" w:type="dxa"/>
              <w:right w:w="85" w:type="dxa"/>
            </w:tcMar>
          </w:tcPr>
          <w:p>
            <w:pPr>
              <w:spacing w:after="0" w:before="0"/>
            </w:pPr>
            <w:r>
              <w:rPr>
                <w:b w:val="0"/>
                <w:color w:val="33414F"/>
                <w:sz w:val="16"/>
              </w:rPr>
              <w:t xml:space="preserve">Grafana</w:t>
            </w:r>
          </w:p>
        </w:tc>
        <w:tc>
          <w:tcPr>
            <w:tcW w:w="1750" w:type="dxa"/>
            <w:tcMar>
              <w:top w:w="45" w:type="dxa"/>
              <w:left w:w="85" w:type="dxa"/>
              <w:bottom w:w="45" w:type="dxa"/>
              <w:right w:w="85" w:type="dxa"/>
            </w:tcMar>
          </w:tcPr>
          <w:p>
            <w:pPr>
              <w:spacing w:after="0" w:before="0"/>
            </w:pPr>
            <w:r>
              <w:rPr>
                <w:b w:val="0"/>
                <w:color w:val="33414F"/>
                <w:sz w:val="16"/>
              </w:rPr>
              <w:t xml:space="preserve">Metabase</w:t>
            </w:r>
          </w:p>
        </w:tc>
        <w:tc>
          <w:tcPr>
            <w:tcW w:w="1750" w:type="dxa"/>
            <w:tcMar>
              <w:top w:w="45" w:type="dxa"/>
              <w:left w:w="85" w:type="dxa"/>
              <w:bottom w:w="45" w:type="dxa"/>
              <w:right w:w="85" w:type="dxa"/>
            </w:tcMar>
          </w:tcPr>
          <w:p>
            <w:pPr>
              <w:spacing w:after="0" w:before="0"/>
            </w:pPr>
            <w:r>
              <w:rPr>
                <w:b w:val="0"/>
                <w:color w:val="33414F"/>
                <w:sz w:val="16"/>
              </w:rPr>
              <w:t xml:space="preserve">Apache Superset</w:t>
            </w:r>
          </w:p>
        </w:tc>
      </w:tr>
      <w:tr>
        <w:tc>
          <w:tcPr>
            <w:tcW w:w="1750" w:type="dxa"/>
            <w:tcMar>
              <w:top w:w="45" w:type="dxa"/>
              <w:left w:w="85" w:type="dxa"/>
              <w:bottom w:w="45" w:type="dxa"/>
              <w:right w:w="85" w:type="dxa"/>
            </w:tcMar>
          </w:tcPr>
          <w:p>
            <w:pPr>
              <w:spacing w:after="0" w:before="0"/>
            </w:pPr>
            <w:r>
              <w:rPr>
                <w:b w:val="0"/>
                <w:color w:val="33414F"/>
                <w:sz w:val="16"/>
              </w:rPr>
              <w:t xml:space="preserve">Salesforce</w:t>
            </w:r>
          </w:p>
        </w:tc>
        <w:tc>
          <w:tcPr>
            <w:tcW w:w="2450" w:type="dxa"/>
            <w:tcMar>
              <w:top w:w="45" w:type="dxa"/>
              <w:left w:w="85" w:type="dxa"/>
              <w:bottom w:w="45" w:type="dxa"/>
              <w:right w:w="85" w:type="dxa"/>
            </w:tcMar>
          </w:tcPr>
          <w:p>
            <w:pPr>
              <w:spacing w:after="0" w:before="0"/>
            </w:pPr>
            <w:r>
              <w:rPr>
                <w:b w:val="0"/>
                <w:color w:val="33414F"/>
                <w:sz w:val="16"/>
              </w:rPr>
              <w:t xml:space="preserve">Keep — integrated via mirroring</w:t>
            </w:r>
          </w:p>
        </w:tc>
        <w:tc>
          <w:tcPr>
            <w:tcW w:w="1750" w:type="dxa"/>
            <w:tcMar>
              <w:top w:w="45" w:type="dxa"/>
              <w:left w:w="85" w:type="dxa"/>
              <w:bottom w:w="45" w:type="dxa"/>
              <w:right w:w="85" w:type="dxa"/>
            </w:tcMar>
          </w:tcPr>
          <w:p>
            <w:pPr>
              <w:spacing w:after="0" w:before="0"/>
            </w:pPr>
            <w:r>
              <w:rPr>
                <w:b w:val="0"/>
                <w:color w:val="33414F"/>
                <w:sz w:val="16"/>
              </w:rPr>
              <w:t xml:space="preserve">HubSpot</w:t>
            </w:r>
          </w:p>
        </w:tc>
        <w:tc>
          <w:tcPr>
            <w:tcW w:w="1750" w:type="dxa"/>
            <w:tcMar>
              <w:top w:w="45" w:type="dxa"/>
              <w:left w:w="85" w:type="dxa"/>
              <w:bottom w:w="45" w:type="dxa"/>
              <w:right w:w="85" w:type="dxa"/>
            </w:tcMar>
          </w:tcPr>
          <w:p>
            <w:pPr>
              <w:spacing w:after="0" w:before="0"/>
            </w:pPr>
            <w:r>
              <w:rPr>
                <w:b w:val="0"/>
                <w:color w:val="33414F"/>
                <w:sz w:val="16"/>
              </w:rPr>
              <w:t xml:space="preserve">Zoho CRM</w:t>
            </w:r>
          </w:p>
        </w:tc>
        <w:tc>
          <w:tcPr>
            <w:tcW w:w="1750" w:type="dxa"/>
            <w:tcMar>
              <w:top w:w="45" w:type="dxa"/>
              <w:left w:w="85" w:type="dxa"/>
              <w:bottom w:w="45" w:type="dxa"/>
              <w:right w:w="85" w:type="dxa"/>
            </w:tcMar>
          </w:tcPr>
          <w:p>
            <w:pPr>
              <w:spacing w:after="0" w:before="0"/>
            </w:pPr>
            <w:r>
              <w:rPr>
                <w:b w:val="0"/>
                <w:color w:val="33414F"/>
                <w:sz w:val="16"/>
              </w:rPr>
              <w:t xml:space="preserve">Odoo CRM</w:t>
            </w:r>
          </w:p>
        </w:tc>
      </w:tr>
      <w:tr>
        <w:tc>
          <w:tcPr>
            <w:tcW w:w="1750" w:type="dxa"/>
            <w:tcMar>
              <w:top w:w="45" w:type="dxa"/>
              <w:left w:w="85" w:type="dxa"/>
              <w:bottom w:w="45" w:type="dxa"/>
              <w:right w:w="85" w:type="dxa"/>
            </w:tcMar>
          </w:tcPr>
          <w:p>
            <w:pPr>
              <w:spacing w:after="0" w:before="0"/>
            </w:pPr>
            <w:r>
              <w:rPr>
                <w:b w:val="0"/>
                <w:color w:val="33414F"/>
                <w:sz w:val="16"/>
              </w:rPr>
              <w:t xml:space="preserve">DataWareHouse</w:t>
            </w:r>
          </w:p>
        </w:tc>
        <w:tc>
          <w:tcPr>
            <w:tcW w:w="2450" w:type="dxa"/>
            <w:tcMar>
              <w:top w:w="45" w:type="dxa"/>
              <w:left w:w="85" w:type="dxa"/>
              <w:bottom w:w="45" w:type="dxa"/>
              <w:right w:w="85" w:type="dxa"/>
            </w:tcMar>
          </w:tcPr>
          <w:p>
            <w:pPr>
              <w:spacing w:after="0" w:before="0"/>
            </w:pPr>
            <w:r>
              <w:rPr>
                <w:b w:val="0"/>
                <w:color w:val="33414F"/>
                <w:sz w:val="16"/>
              </w:rPr>
              <w:t xml:space="preserve">RETIRE → Fabric lakehouse</w:t>
            </w:r>
          </w:p>
        </w:tc>
        <w:tc>
          <w:tcPr>
            <w:tcW w:w="1750" w:type="dxa"/>
            <w:tcMar>
              <w:top w:w="45" w:type="dxa"/>
              <w:left w:w="85" w:type="dxa"/>
              <w:bottom w:w="45" w:type="dxa"/>
              <w:right w:w="85" w:type="dxa"/>
            </w:tcMar>
          </w:tcPr>
          <w:p>
            <w:pPr>
              <w:spacing w:after="0" w:before="0"/>
            </w:pPr>
            <w:r>
              <w:rPr>
                <w:b w:val="0"/>
                <w:color w:val="33414F"/>
                <w:sz w:val="16"/>
              </w:rPr>
              <w:t xml:space="preserve">Direct Power BI source links</w:t>
            </w:r>
          </w:p>
        </w:tc>
        <w:tc>
          <w:tcPr>
            <w:tcW w:w="1750" w:type="dxa"/>
            <w:tcMar>
              <w:top w:w="45" w:type="dxa"/>
              <w:left w:w="85" w:type="dxa"/>
              <w:bottom w:w="45" w:type="dxa"/>
              <w:right w:w="85" w:type="dxa"/>
            </w:tcMar>
          </w:tcPr>
          <w:p>
            <w:pPr>
              <w:spacing w:after="0" w:before="0"/>
            </w:pPr>
            <w:r>
              <w:rPr>
                <w:b w:val="0"/>
                <w:color w:val="33414F"/>
                <w:sz w:val="16"/>
              </w:rPr>
              <w:t xml:space="preserve">PostgreSQL DW on cluster</w:t>
            </w:r>
          </w:p>
        </w:tc>
        <w:tc>
          <w:tcPr>
            <w:tcW w:w="1750" w:type="dxa"/>
            <w:tcMar>
              <w:top w:w="45" w:type="dxa"/>
              <w:left w:w="85" w:type="dxa"/>
              <w:bottom w:w="45" w:type="dxa"/>
              <w:right w:w="85" w:type="dxa"/>
            </w:tcMar>
          </w:tcPr>
          <w:p>
            <w:pPr>
              <w:spacing w:after="0" w:before="0"/>
            </w:pPr>
            <w:r>
              <w:rPr>
                <w:b w:val="0"/>
                <w:color w:val="33414F"/>
                <w:sz w:val="16"/>
              </w:rPr>
              <w:t xml:space="preserve">ClickHouse</w:t>
            </w:r>
          </w:p>
        </w:tc>
      </w:tr>
      <w:tr>
        <w:tc>
          <w:tcPr>
            <w:tcW w:w="1750" w:type="dxa"/>
            <w:tcMar>
              <w:top w:w="45" w:type="dxa"/>
              <w:left w:w="85" w:type="dxa"/>
              <w:bottom w:w="45" w:type="dxa"/>
              <w:right w:w="85" w:type="dxa"/>
            </w:tcMar>
          </w:tcPr>
          <w:p>
            <w:pPr>
              <w:spacing w:after="0" w:before="0"/>
            </w:pPr>
            <w:r>
              <w:rPr>
                <w:b w:val="0"/>
                <w:color w:val="33414F"/>
                <w:sz w:val="16"/>
              </w:rPr>
              <w:t xml:space="preserve">BioSyn T&amp;A</w:t>
            </w:r>
          </w:p>
        </w:tc>
        <w:tc>
          <w:tcPr>
            <w:tcW w:w="2450" w:type="dxa"/>
            <w:tcMar>
              <w:top w:w="45" w:type="dxa"/>
              <w:left w:w="85" w:type="dxa"/>
              <w:bottom w:w="45" w:type="dxa"/>
              <w:right w:w="85" w:type="dxa"/>
            </w:tcMar>
          </w:tcPr>
          <w:p>
            <w:pPr>
              <w:spacing w:after="0" w:before="0"/>
            </w:pPr>
            <w:r>
              <w:rPr>
                <w:b w:val="0"/>
                <w:color w:val="33414F"/>
                <w:sz w:val="16"/>
              </w:rPr>
              <w:t xml:space="preserve">STANDALONE — API feed to X3 only</w:t>
            </w:r>
          </w:p>
        </w:tc>
        <w:tc>
          <w:tcPr>
            <w:tcW w:w="1750" w:type="dxa"/>
            <w:tcMar>
              <w:top w:w="45" w:type="dxa"/>
              <w:left w:w="85" w:type="dxa"/>
              <w:bottom w:w="45" w:type="dxa"/>
              <w:right w:w="85" w:type="dxa"/>
            </w:tcMar>
          </w:tcPr>
          <w:p>
            <w:pPr>
              <w:spacing w:after="0" w:before="0"/>
            </w:pPr>
            <w:r>
              <w:rPr>
                <w:b w:val="0"/>
                <w:color w:val="33414F"/>
                <w:sz w:val="16"/>
              </w:rPr>
              <w:t xml:space="preserve">(stays as-is by design)</w:t>
            </w:r>
          </w:p>
        </w:tc>
        <w:tc>
          <w:tcPr>
            <w:tcW w:w="1750" w:type="dxa"/>
            <w:tcMar>
              <w:top w:w="45" w:type="dxa"/>
              <w:left w:w="85" w:type="dxa"/>
              <w:bottom w:w="45" w:type="dxa"/>
              <w:right w:w="85" w:type="dxa"/>
            </w:tcMar>
          </w:tcPr>
          <w:p>
            <w:pPr>
              <w:spacing w:after="0" w:before="0"/>
            </w:pPr>
            <w:r>
              <w:rPr>
                <w:b w:val="0"/>
                <w:color w:val="33414F"/>
                <w:sz w:val="16"/>
              </w:rPr>
              <w:t xml:space="preserve">—</w:t>
            </w:r>
          </w:p>
        </w:tc>
        <w:tc>
          <w:tcPr>
            <w:tcW w:w="1750" w:type="dxa"/>
            <w:tcMar>
              <w:top w:w="45" w:type="dxa"/>
              <w:left w:w="85" w:type="dxa"/>
              <w:bottom w:w="45" w:type="dxa"/>
              <w:right w:w="85" w:type="dxa"/>
            </w:tcMar>
          </w:tcPr>
          <w:p>
            <w:pPr>
              <w:spacing w:after="0" w:before="0"/>
            </w:pPr>
            <w:r>
              <w:rPr>
                <w:b w:val="0"/>
                <w:color w:val="33414F"/>
                <w:sz w:val="16"/>
              </w:rPr>
              <w:t xml:space="preserve">—</w:t>
            </w:r>
          </w:p>
        </w:tc>
      </w:tr>
    </w:tbl>
    <w:p>
      <w:pPr>
        <w:spacing w:after="80"/>
      </w:pP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 Azure App Service listed for WordPress only as the retained-estate fallback where SA residency is verified. Alternatives are directional candidates for due diligence, not endorsements; selection follows SOP-01 and the vendor checklist in the AI Governance Pack where AI-enabled.</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8. Audit Outcome — Findings Register &amp; IA·MCP Baseline</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full register runs F-01→F-27 in the TOPEND final presentation (its own numbering); the Final Report SPINE consolidates the estate picture into the nine headline findings below (SPINE v0.2 numbering, used throughout this IR). The forensic baseline scored 33.7 and 49.1 — Grade F ("Initial") — against CIS v8, ISO 27001, SOC 2, NIST 800-53 and POPIA. The register is the backbone of Workstream B and of every weekly IA·MCP re-score; the cross-walk between numbering schemes sits in the audit pack.</w:t>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000"/>
        <w:gridCol w:w="3800"/>
        <w:gridCol w:w="1400"/>
        <w:gridCol w:w="1400"/>
        <w:gridCol w:w="1300"/>
      </w:tblGrid>
      <w:tr>
        <w:tc>
          <w:tcPr>
            <w:tcW w:w="1000" w:type="dxa"/>
            <w:shd w:val="clear" w:color="auto" w:fill="0D2137"/>
            <w:tcMar>
              <w:top w:w="45" w:type="dxa"/>
              <w:left w:w="85" w:type="dxa"/>
              <w:bottom w:w="45" w:type="dxa"/>
              <w:right w:w="85" w:type="dxa"/>
            </w:tcMar>
          </w:tcPr>
          <w:p>
            <w:pPr>
              <w:spacing w:after="0" w:before="0"/>
            </w:pPr>
            <w:r>
              <w:rPr>
                <w:b/>
                <w:color w:val="FFFFFF"/>
                <w:sz w:val="18"/>
              </w:rPr>
              <w:t xml:space="preserve">ID</w:t>
            </w:r>
          </w:p>
        </w:tc>
        <w:tc>
          <w:tcPr>
            <w:tcW w:w="3800" w:type="dxa"/>
            <w:shd w:val="clear" w:color="auto" w:fill="0D2137"/>
            <w:tcMar>
              <w:top w:w="45" w:type="dxa"/>
              <w:left w:w="85" w:type="dxa"/>
              <w:bottom w:w="45" w:type="dxa"/>
              <w:right w:w="85" w:type="dxa"/>
            </w:tcMar>
          </w:tcPr>
          <w:p>
            <w:pPr>
              <w:spacing w:after="0" w:before="0"/>
            </w:pPr>
            <w:r>
              <w:rPr>
                <w:b/>
                <w:color w:val="FFFFFF"/>
                <w:sz w:val="18"/>
              </w:rPr>
              <w:t xml:space="preserve">Finding</w:t>
            </w:r>
          </w:p>
        </w:tc>
        <w:tc>
          <w:tcPr>
            <w:tcW w:w="1400" w:type="dxa"/>
            <w:shd w:val="clear" w:color="auto" w:fill="0D2137"/>
            <w:tcMar>
              <w:top w:w="45" w:type="dxa"/>
              <w:left w:w="85" w:type="dxa"/>
              <w:bottom w:w="45" w:type="dxa"/>
              <w:right w:w="85" w:type="dxa"/>
            </w:tcMar>
          </w:tcPr>
          <w:p>
            <w:pPr>
              <w:spacing w:after="0" w:before="0"/>
            </w:pPr>
            <w:r>
              <w:rPr>
                <w:b/>
                <w:color w:val="FFFFFF"/>
                <w:sz w:val="18"/>
              </w:rPr>
              <w:t xml:space="preserve">Rating</w:t>
            </w:r>
          </w:p>
        </w:tc>
        <w:tc>
          <w:tcPr>
            <w:tcW w:w="1400" w:type="dxa"/>
            <w:shd w:val="clear" w:color="auto" w:fill="0D2137"/>
            <w:tcMar>
              <w:top w:w="45" w:type="dxa"/>
              <w:left w:w="85" w:type="dxa"/>
              <w:bottom w:w="45" w:type="dxa"/>
              <w:right w:w="85" w:type="dxa"/>
            </w:tcMar>
          </w:tcPr>
          <w:p>
            <w:pPr>
              <w:spacing w:after="0" w:before="0"/>
            </w:pPr>
            <w:r>
              <w:rPr>
                <w:b/>
                <w:color w:val="FFFFFF"/>
                <w:sz w:val="18"/>
              </w:rPr>
              <w:t xml:space="preserve">Priority</w:t>
            </w:r>
          </w:p>
        </w:tc>
        <w:tc>
          <w:tcPr>
            <w:tcW w:w="1300" w:type="dxa"/>
            <w:shd w:val="clear" w:color="auto" w:fill="0D2137"/>
            <w:tcMar>
              <w:top w:w="45" w:type="dxa"/>
              <w:left w:w="85" w:type="dxa"/>
              <w:bottom w:w="45" w:type="dxa"/>
              <w:right w:w="85" w:type="dxa"/>
            </w:tcMar>
          </w:tcPr>
          <w:p>
            <w:pPr>
              <w:spacing w:after="0" w:before="0"/>
            </w:pPr>
            <w:r>
              <w:rPr>
                <w:b/>
                <w:color w:val="FFFFFF"/>
                <w:sz w:val="18"/>
              </w:rPr>
              <w:t xml:space="preserve">Owner</w:t>
            </w:r>
          </w:p>
        </w:tc>
      </w:tr>
      <w:tr>
        <w:tc>
          <w:tcPr>
            <w:tcW w:w="1000" w:type="dxa"/>
            <w:tcMar>
              <w:top w:w="45" w:type="dxa"/>
              <w:left w:w="85" w:type="dxa"/>
              <w:bottom w:w="45" w:type="dxa"/>
              <w:right w:w="85" w:type="dxa"/>
            </w:tcMar>
          </w:tcPr>
          <w:p>
            <w:pPr>
              <w:spacing w:after="0" w:before="0"/>
            </w:pPr>
            <w:r>
              <w:rPr>
                <w:b w:val="0"/>
                <w:color w:val="33414F"/>
                <w:sz w:val="18"/>
              </w:rPr>
              <w:t xml:space="preserve">F-01</w:t>
            </w:r>
          </w:p>
        </w:tc>
        <w:tc>
          <w:tcPr>
            <w:tcW w:w="3800" w:type="dxa"/>
            <w:tcMar>
              <w:top w:w="45" w:type="dxa"/>
              <w:left w:w="85" w:type="dxa"/>
              <w:bottom w:w="45" w:type="dxa"/>
              <w:right w:w="85" w:type="dxa"/>
            </w:tcMar>
          </w:tcPr>
          <w:p>
            <w:pPr>
              <w:spacing w:after="0" w:before="0"/>
            </w:pPr>
            <w:r>
              <w:rPr>
                <w:b w:val="0"/>
                <w:color w:val="33414F"/>
                <w:sz w:val="18"/>
              </w:rPr>
              <w:t xml:space="preserve">Cloud/POPIA — special PI processed outside SA (SMART 2.0 / SNowI 2 AWS region; af-south-1 vs us-east-1 to be confirmed on record)</w:t>
            </w:r>
          </w:p>
        </w:tc>
        <w:tc>
          <w:tcPr>
            <w:tcW w:w="1400" w:type="dxa"/>
            <w:tcMar>
              <w:top w:w="45" w:type="dxa"/>
              <w:left w:w="85" w:type="dxa"/>
              <w:bottom w:w="45" w:type="dxa"/>
              <w:right w:w="85" w:type="dxa"/>
            </w:tcMar>
          </w:tcPr>
          <w:p>
            <w:pPr>
              <w:spacing w:after="0" w:before="0"/>
            </w:pPr>
            <w:r>
              <w:rPr>
                <w:b w:val="0"/>
                <w:color w:val="33414F"/>
                <w:sz w:val="18"/>
              </w:rPr>
              <w:t xml:space="preserve">RED</w:t>
            </w:r>
          </w:p>
        </w:tc>
        <w:tc>
          <w:tcPr>
            <w:tcW w:w="1400" w:type="dxa"/>
            <w:tcMar>
              <w:top w:w="45" w:type="dxa"/>
              <w:left w:w="85" w:type="dxa"/>
              <w:bottom w:w="45" w:type="dxa"/>
              <w:right w:w="85" w:type="dxa"/>
            </w:tcMar>
          </w:tcPr>
          <w:p>
            <w:pPr>
              <w:spacing w:after="0" w:before="0"/>
            </w:pPr>
            <w:r>
              <w:rPr>
                <w:b w:val="0"/>
                <w:color w:val="33414F"/>
                <w:sz w:val="18"/>
              </w:rPr>
              <w:t xml:space="preserve">P1</w:t>
            </w:r>
          </w:p>
        </w:tc>
        <w:tc>
          <w:tcPr>
            <w:tcW w:w="1300" w:type="dxa"/>
            <w:tcMar>
              <w:top w:w="45" w:type="dxa"/>
              <w:left w:w="85" w:type="dxa"/>
              <w:bottom w:w="45" w:type="dxa"/>
              <w:right w:w="85" w:type="dxa"/>
            </w:tcMar>
          </w:tcPr>
          <w:p>
            <w:pPr>
              <w:spacing w:after="0" w:before="0"/>
            </w:pPr>
            <w:r>
              <w:rPr>
                <w:b w:val="0"/>
                <w:color w:val="33414F"/>
                <w:sz w:val="18"/>
              </w:rPr>
              <w:t xml:space="preserve">Ionity + Neetin</w:t>
            </w:r>
          </w:p>
        </w:tc>
      </w:tr>
      <w:tr>
        <w:tc>
          <w:tcPr>
            <w:tcW w:w="1000" w:type="dxa"/>
            <w:tcMar>
              <w:top w:w="45" w:type="dxa"/>
              <w:left w:w="85" w:type="dxa"/>
              <w:bottom w:w="45" w:type="dxa"/>
              <w:right w:w="85" w:type="dxa"/>
            </w:tcMar>
          </w:tcPr>
          <w:p>
            <w:pPr>
              <w:spacing w:after="0" w:before="0"/>
            </w:pPr>
            <w:r>
              <w:rPr>
                <w:b w:val="0"/>
                <w:color w:val="33414F"/>
                <w:sz w:val="18"/>
              </w:rPr>
              <w:t xml:space="preserve">F-02</w:t>
            </w:r>
          </w:p>
        </w:tc>
        <w:tc>
          <w:tcPr>
            <w:tcW w:w="3800" w:type="dxa"/>
            <w:tcMar>
              <w:top w:w="45" w:type="dxa"/>
              <w:left w:w="85" w:type="dxa"/>
              <w:bottom w:w="45" w:type="dxa"/>
              <w:right w:w="85" w:type="dxa"/>
            </w:tcMar>
          </w:tcPr>
          <w:p>
            <w:pPr>
              <w:spacing w:after="0" w:before="0"/>
            </w:pPr>
            <w:r>
              <w:rPr>
                <w:b w:val="0"/>
                <w:color w:val="33414F"/>
                <w:sz w:val="18"/>
              </w:rPr>
              <w:t xml:space="preserve">Email security — Mimecast covers ±40 of ~200 mailboxes; phishing exposure</w:t>
            </w:r>
          </w:p>
        </w:tc>
        <w:tc>
          <w:tcPr>
            <w:tcW w:w="1400" w:type="dxa"/>
            <w:tcMar>
              <w:top w:w="45" w:type="dxa"/>
              <w:left w:w="85" w:type="dxa"/>
              <w:bottom w:w="45" w:type="dxa"/>
              <w:right w:w="85" w:type="dxa"/>
            </w:tcMar>
          </w:tcPr>
          <w:p>
            <w:pPr>
              <w:spacing w:after="0" w:before="0"/>
            </w:pPr>
            <w:r>
              <w:rPr>
                <w:b w:val="0"/>
                <w:color w:val="33414F"/>
                <w:sz w:val="18"/>
              </w:rPr>
              <w:t xml:space="preserve">HIGH</w:t>
            </w:r>
          </w:p>
        </w:tc>
        <w:tc>
          <w:tcPr>
            <w:tcW w:w="1400" w:type="dxa"/>
            <w:tcMar>
              <w:top w:w="45" w:type="dxa"/>
              <w:left w:w="85" w:type="dxa"/>
              <w:bottom w:w="45" w:type="dxa"/>
              <w:right w:w="85" w:type="dxa"/>
            </w:tcMar>
          </w:tcPr>
          <w:p>
            <w:pPr>
              <w:spacing w:after="0" w:before="0"/>
            </w:pPr>
            <w:r>
              <w:rPr>
                <w:b w:val="0"/>
                <w:color w:val="33414F"/>
                <w:sz w:val="18"/>
              </w:rPr>
              <w:t xml:space="preserve">P1</w:t>
            </w:r>
          </w:p>
        </w:tc>
        <w:tc>
          <w:tcPr>
            <w:tcW w:w="1300" w:type="dxa"/>
            <w:tcMar>
              <w:top w:w="45" w:type="dxa"/>
              <w:left w:w="85" w:type="dxa"/>
              <w:bottom w:w="45" w:type="dxa"/>
              <w:right w:w="85" w:type="dxa"/>
            </w:tcMar>
          </w:tcPr>
          <w:p>
            <w:pPr>
              <w:spacing w:after="0" w:before="0"/>
            </w:pPr>
            <w:r>
              <w:rPr>
                <w:b w:val="0"/>
                <w:color w:val="33414F"/>
                <w:sz w:val="18"/>
              </w:rPr>
              <w:t xml:space="preserve">Neetin + Lillian</w:t>
            </w:r>
          </w:p>
        </w:tc>
      </w:tr>
      <w:tr>
        <w:tc>
          <w:tcPr>
            <w:tcW w:w="1000" w:type="dxa"/>
            <w:tcMar>
              <w:top w:w="45" w:type="dxa"/>
              <w:left w:w="85" w:type="dxa"/>
              <w:bottom w:w="45" w:type="dxa"/>
              <w:right w:w="85" w:type="dxa"/>
            </w:tcMar>
          </w:tcPr>
          <w:p>
            <w:pPr>
              <w:spacing w:after="0" w:before="0"/>
            </w:pPr>
            <w:r>
              <w:rPr>
                <w:b w:val="0"/>
                <w:color w:val="33414F"/>
                <w:sz w:val="18"/>
              </w:rPr>
              <w:t xml:space="preserve">F-03</w:t>
            </w:r>
          </w:p>
        </w:tc>
        <w:tc>
          <w:tcPr>
            <w:tcW w:w="3800" w:type="dxa"/>
            <w:tcMar>
              <w:top w:w="45" w:type="dxa"/>
              <w:left w:w="85" w:type="dxa"/>
              <w:bottom w:w="45" w:type="dxa"/>
              <w:right w:w="85" w:type="dxa"/>
            </w:tcMar>
          </w:tcPr>
          <w:p>
            <w:pPr>
              <w:spacing w:after="0" w:before="0"/>
            </w:pPr>
            <w:r>
              <w:rPr>
                <w:b w:val="0"/>
                <w:color w:val="33414F"/>
                <w:sz w:val="18"/>
              </w:rPr>
              <w:t xml:space="preserve">Identity — HR→IT joiner/mover/leaver gap; ±1 000 accounts vs ±260 active people</w:t>
            </w:r>
          </w:p>
        </w:tc>
        <w:tc>
          <w:tcPr>
            <w:tcW w:w="1400" w:type="dxa"/>
            <w:tcMar>
              <w:top w:w="45" w:type="dxa"/>
              <w:left w:w="85" w:type="dxa"/>
              <w:bottom w:w="45" w:type="dxa"/>
              <w:right w:w="85" w:type="dxa"/>
            </w:tcMar>
          </w:tcPr>
          <w:p>
            <w:pPr>
              <w:spacing w:after="0" w:before="0"/>
            </w:pPr>
            <w:r>
              <w:rPr>
                <w:b w:val="0"/>
                <w:color w:val="33414F"/>
                <w:sz w:val="18"/>
              </w:rPr>
              <w:t xml:space="preserve">YELLOW</w:t>
            </w:r>
          </w:p>
        </w:tc>
        <w:tc>
          <w:tcPr>
            <w:tcW w:w="1400" w:type="dxa"/>
            <w:tcMar>
              <w:top w:w="45" w:type="dxa"/>
              <w:left w:w="85" w:type="dxa"/>
              <w:bottom w:w="45" w:type="dxa"/>
              <w:right w:w="85" w:type="dxa"/>
            </w:tcMar>
          </w:tcPr>
          <w:p>
            <w:pPr>
              <w:spacing w:after="0" w:before="0"/>
            </w:pPr>
            <w:r>
              <w:rPr>
                <w:b w:val="0"/>
                <w:color w:val="33414F"/>
                <w:sz w:val="18"/>
              </w:rPr>
              <w:t xml:space="preserve">P2</w:t>
            </w:r>
          </w:p>
        </w:tc>
        <w:tc>
          <w:tcPr>
            <w:tcW w:w="1300" w:type="dxa"/>
            <w:tcMar>
              <w:top w:w="45" w:type="dxa"/>
              <w:left w:w="85" w:type="dxa"/>
              <w:bottom w:w="45" w:type="dxa"/>
              <w:right w:w="85" w:type="dxa"/>
            </w:tcMar>
          </w:tcPr>
          <w:p>
            <w:pPr>
              <w:spacing w:after="0" w:before="0"/>
            </w:pPr>
            <w:r>
              <w:rPr>
                <w:b w:val="0"/>
                <w:color w:val="33414F"/>
                <w:sz w:val="18"/>
              </w:rPr>
              <w:t xml:space="preserve">Neetin + HR</w:t>
            </w:r>
          </w:p>
        </w:tc>
      </w:tr>
      <w:tr>
        <w:tc>
          <w:tcPr>
            <w:tcW w:w="1000" w:type="dxa"/>
            <w:tcMar>
              <w:top w:w="45" w:type="dxa"/>
              <w:left w:w="85" w:type="dxa"/>
              <w:bottom w:w="45" w:type="dxa"/>
              <w:right w:w="85" w:type="dxa"/>
            </w:tcMar>
          </w:tcPr>
          <w:p>
            <w:pPr>
              <w:spacing w:after="0" w:before="0"/>
            </w:pPr>
            <w:r>
              <w:rPr>
                <w:b w:val="0"/>
                <w:color w:val="33414F"/>
                <w:sz w:val="18"/>
              </w:rPr>
              <w:t xml:space="preserve">F-04</w:t>
            </w:r>
          </w:p>
        </w:tc>
        <w:tc>
          <w:tcPr>
            <w:tcW w:w="3800" w:type="dxa"/>
            <w:tcMar>
              <w:top w:w="45" w:type="dxa"/>
              <w:left w:w="85" w:type="dxa"/>
              <w:bottom w:w="45" w:type="dxa"/>
              <w:right w:w="85" w:type="dxa"/>
            </w:tcMar>
          </w:tcPr>
          <w:p>
            <w:pPr>
              <w:spacing w:after="0" w:before="0"/>
            </w:pPr>
            <w:r>
              <w:rPr>
                <w:b w:val="0"/>
                <w:color w:val="33414F"/>
                <w:sz w:val="18"/>
              </w:rPr>
              <w:t xml:space="preserve">Cost/licence — AWS commitment expiring Sep-26; ±R9k → R60–70k/month</w:t>
            </w:r>
          </w:p>
        </w:tc>
        <w:tc>
          <w:tcPr>
            <w:tcW w:w="1400" w:type="dxa"/>
            <w:tcMar>
              <w:top w:w="45" w:type="dxa"/>
              <w:left w:w="85" w:type="dxa"/>
              <w:bottom w:w="45" w:type="dxa"/>
              <w:right w:w="85" w:type="dxa"/>
            </w:tcMar>
          </w:tcPr>
          <w:p>
            <w:pPr>
              <w:spacing w:after="0" w:before="0"/>
            </w:pPr>
            <w:r>
              <w:rPr>
                <w:b w:val="0"/>
                <w:color w:val="33414F"/>
                <w:sz w:val="18"/>
              </w:rPr>
              <w:t xml:space="preserve">YELLOW</w:t>
            </w:r>
          </w:p>
        </w:tc>
        <w:tc>
          <w:tcPr>
            <w:tcW w:w="1400" w:type="dxa"/>
            <w:tcMar>
              <w:top w:w="45" w:type="dxa"/>
              <w:left w:w="85" w:type="dxa"/>
              <w:bottom w:w="45" w:type="dxa"/>
              <w:right w:w="85" w:type="dxa"/>
            </w:tcMar>
          </w:tcPr>
          <w:p>
            <w:pPr>
              <w:spacing w:after="0" w:before="0"/>
            </w:pPr>
            <w:r>
              <w:rPr>
                <w:b w:val="0"/>
                <w:color w:val="33414F"/>
                <w:sz w:val="18"/>
              </w:rPr>
              <w:t xml:space="preserve">P2 (gates baseline)</w:t>
            </w:r>
          </w:p>
        </w:tc>
        <w:tc>
          <w:tcPr>
            <w:tcW w:w="1300" w:type="dxa"/>
            <w:tcMar>
              <w:top w:w="45" w:type="dxa"/>
              <w:left w:w="85" w:type="dxa"/>
              <w:bottom w:w="45" w:type="dxa"/>
              <w:right w:w="85" w:type="dxa"/>
            </w:tcMar>
          </w:tcPr>
          <w:p>
            <w:pPr>
              <w:spacing w:after="0" w:before="0"/>
            </w:pPr>
            <w:r>
              <w:rPr>
                <w:b w:val="0"/>
                <w:color w:val="33414F"/>
                <w:sz w:val="18"/>
              </w:rPr>
              <w:t xml:space="preserve">Neetin + Ionity</w:t>
            </w:r>
          </w:p>
        </w:tc>
      </w:tr>
      <w:tr>
        <w:tc>
          <w:tcPr>
            <w:tcW w:w="1000" w:type="dxa"/>
            <w:tcMar>
              <w:top w:w="45" w:type="dxa"/>
              <w:left w:w="85" w:type="dxa"/>
              <w:bottom w:w="45" w:type="dxa"/>
              <w:right w:w="85" w:type="dxa"/>
            </w:tcMar>
          </w:tcPr>
          <w:p>
            <w:pPr>
              <w:spacing w:after="0" w:before="0"/>
            </w:pPr>
            <w:r>
              <w:rPr>
                <w:b w:val="0"/>
                <w:color w:val="33414F"/>
                <w:sz w:val="18"/>
              </w:rPr>
              <w:t xml:space="preserve">F-05</w:t>
            </w:r>
          </w:p>
        </w:tc>
        <w:tc>
          <w:tcPr>
            <w:tcW w:w="3800" w:type="dxa"/>
            <w:tcMar>
              <w:top w:w="45" w:type="dxa"/>
              <w:left w:w="85" w:type="dxa"/>
              <w:bottom w:w="45" w:type="dxa"/>
              <w:right w:w="85" w:type="dxa"/>
            </w:tcMar>
          </w:tcPr>
          <w:p>
            <w:pPr>
              <w:spacing w:after="0" w:before="0"/>
            </w:pPr>
            <w:r>
              <w:rPr>
                <w:b w:val="0"/>
                <w:color w:val="33414F"/>
                <w:sz w:val="18"/>
              </w:rPr>
              <w:t xml:space="preserve">Finance — fragmented finance stack (5 parallel systems)</w:t>
            </w:r>
          </w:p>
        </w:tc>
        <w:tc>
          <w:tcPr>
            <w:tcW w:w="1400" w:type="dxa"/>
            <w:tcMar>
              <w:top w:w="45" w:type="dxa"/>
              <w:left w:w="85" w:type="dxa"/>
              <w:bottom w:w="45" w:type="dxa"/>
              <w:right w:w="85" w:type="dxa"/>
            </w:tcMar>
          </w:tcPr>
          <w:p>
            <w:pPr>
              <w:spacing w:after="0" w:before="0"/>
            </w:pPr>
            <w:r>
              <w:rPr>
                <w:b w:val="0"/>
                <w:color w:val="33414F"/>
                <w:sz w:val="18"/>
              </w:rPr>
              <w:t xml:space="preserve">YELLOW</w:t>
            </w:r>
          </w:p>
        </w:tc>
        <w:tc>
          <w:tcPr>
            <w:tcW w:w="1400" w:type="dxa"/>
            <w:tcMar>
              <w:top w:w="45" w:type="dxa"/>
              <w:left w:w="85" w:type="dxa"/>
              <w:bottom w:w="45" w:type="dxa"/>
              <w:right w:w="85" w:type="dxa"/>
            </w:tcMar>
          </w:tcPr>
          <w:p>
            <w:pPr>
              <w:spacing w:after="0" w:before="0"/>
            </w:pPr>
            <w:r>
              <w:rPr>
                <w:b w:val="0"/>
                <w:color w:val="33414F"/>
                <w:sz w:val="18"/>
              </w:rPr>
              <w:t xml:space="preserve">P2</w:t>
            </w:r>
          </w:p>
        </w:tc>
        <w:tc>
          <w:tcPr>
            <w:tcW w:w="1300" w:type="dxa"/>
            <w:tcMar>
              <w:top w:w="45" w:type="dxa"/>
              <w:left w:w="85" w:type="dxa"/>
              <w:bottom w:w="45" w:type="dxa"/>
              <w:right w:w="85" w:type="dxa"/>
            </w:tcMar>
          </w:tcPr>
          <w:p>
            <w:pPr>
              <w:spacing w:after="0" w:before="0"/>
            </w:pPr>
            <w:r>
              <w:rPr>
                <w:b w:val="0"/>
                <w:color w:val="33414F"/>
                <w:sz w:val="18"/>
              </w:rPr>
              <w:t xml:space="preserve">Pierre + Angela</w:t>
            </w:r>
          </w:p>
        </w:tc>
      </w:tr>
      <w:tr>
        <w:tc>
          <w:tcPr>
            <w:tcW w:w="1000" w:type="dxa"/>
            <w:tcMar>
              <w:top w:w="45" w:type="dxa"/>
              <w:left w:w="85" w:type="dxa"/>
              <w:bottom w:w="45" w:type="dxa"/>
              <w:right w:w="85" w:type="dxa"/>
            </w:tcMar>
          </w:tcPr>
          <w:p>
            <w:pPr>
              <w:spacing w:after="0" w:before="0"/>
            </w:pPr>
            <w:r>
              <w:rPr>
                <w:b w:val="0"/>
                <w:color w:val="33414F"/>
                <w:sz w:val="18"/>
              </w:rPr>
              <w:t xml:space="preserve">F-06</w:t>
            </w:r>
          </w:p>
        </w:tc>
        <w:tc>
          <w:tcPr>
            <w:tcW w:w="3800" w:type="dxa"/>
            <w:tcMar>
              <w:top w:w="45" w:type="dxa"/>
              <w:left w:w="85" w:type="dxa"/>
              <w:bottom w:w="45" w:type="dxa"/>
              <w:right w:w="85" w:type="dxa"/>
            </w:tcMar>
          </w:tcPr>
          <w:p>
            <w:pPr>
              <w:spacing w:after="0" w:before="0"/>
            </w:pPr>
            <w:r>
              <w:rPr>
                <w:b w:val="0"/>
                <w:color w:val="33414F"/>
                <w:sz w:val="18"/>
              </w:rPr>
              <w:t xml:space="preserve">Patch/change — SMART 2.0 on end-of-life .NET runtime, no maintenance cadence</w:t>
            </w:r>
          </w:p>
        </w:tc>
        <w:tc>
          <w:tcPr>
            <w:tcW w:w="1400" w:type="dxa"/>
            <w:tcMar>
              <w:top w:w="45" w:type="dxa"/>
              <w:left w:w="85" w:type="dxa"/>
              <w:bottom w:w="45" w:type="dxa"/>
              <w:right w:w="85" w:type="dxa"/>
            </w:tcMar>
          </w:tcPr>
          <w:p>
            <w:pPr>
              <w:spacing w:after="0" w:before="0"/>
            </w:pPr>
            <w:r>
              <w:rPr>
                <w:b w:val="0"/>
                <w:color w:val="33414F"/>
                <w:sz w:val="18"/>
              </w:rPr>
              <w:t xml:space="preserve">RED (L×S 16)</w:t>
            </w:r>
          </w:p>
        </w:tc>
        <w:tc>
          <w:tcPr>
            <w:tcW w:w="1400" w:type="dxa"/>
            <w:tcMar>
              <w:top w:w="45" w:type="dxa"/>
              <w:left w:w="85" w:type="dxa"/>
              <w:bottom w:w="45" w:type="dxa"/>
              <w:right w:w="85" w:type="dxa"/>
            </w:tcMar>
          </w:tcPr>
          <w:p>
            <w:pPr>
              <w:spacing w:after="0" w:before="0"/>
            </w:pPr>
            <w:r>
              <w:rPr>
                <w:b w:val="0"/>
                <w:color w:val="33414F"/>
                <w:sz w:val="18"/>
              </w:rPr>
              <w:t xml:space="preserve">P1</w:t>
            </w:r>
          </w:p>
        </w:tc>
        <w:tc>
          <w:tcPr>
            <w:tcW w:w="1300" w:type="dxa"/>
            <w:tcMar>
              <w:top w:w="45" w:type="dxa"/>
              <w:left w:w="85" w:type="dxa"/>
              <w:bottom w:w="45" w:type="dxa"/>
              <w:right w:w="85" w:type="dxa"/>
            </w:tcMar>
          </w:tcPr>
          <w:p>
            <w:pPr>
              <w:spacing w:after="0" w:before="0"/>
            </w:pPr>
            <w:r>
              <w:rPr>
                <w:b w:val="0"/>
                <w:color w:val="33414F"/>
                <w:sz w:val="18"/>
              </w:rPr>
              <w:t xml:space="preserve">Ionity</w:t>
            </w:r>
          </w:p>
        </w:tc>
      </w:tr>
      <w:tr>
        <w:tc>
          <w:tcPr>
            <w:tcW w:w="1000" w:type="dxa"/>
            <w:tcMar>
              <w:top w:w="45" w:type="dxa"/>
              <w:left w:w="85" w:type="dxa"/>
              <w:bottom w:w="45" w:type="dxa"/>
              <w:right w:w="85" w:type="dxa"/>
            </w:tcMar>
          </w:tcPr>
          <w:p>
            <w:pPr>
              <w:spacing w:after="0" w:before="0"/>
            </w:pPr>
            <w:r>
              <w:rPr>
                <w:b w:val="0"/>
                <w:color w:val="33414F"/>
                <w:sz w:val="18"/>
              </w:rPr>
              <w:t xml:space="preserve">F-07</w:t>
            </w:r>
          </w:p>
        </w:tc>
        <w:tc>
          <w:tcPr>
            <w:tcW w:w="3800" w:type="dxa"/>
            <w:tcMar>
              <w:top w:w="45" w:type="dxa"/>
              <w:left w:w="85" w:type="dxa"/>
              <w:bottom w:w="45" w:type="dxa"/>
              <w:right w:w="85" w:type="dxa"/>
            </w:tcMar>
          </w:tcPr>
          <w:p>
            <w:pPr>
              <w:spacing w:after="0" w:before="0"/>
            </w:pPr>
            <w:r>
              <w:rPr>
                <w:b w:val="0"/>
                <w:color w:val="33414F"/>
                <w:sz w:val="18"/>
              </w:rPr>
              <w:t xml:space="preserve">Integrations — Symmetric DS offline sync fragile, unsupported (SMART 2 ↔ SNowI 2)</w:t>
            </w:r>
          </w:p>
        </w:tc>
        <w:tc>
          <w:tcPr>
            <w:tcW w:w="1400" w:type="dxa"/>
            <w:tcMar>
              <w:top w:w="45" w:type="dxa"/>
              <w:left w:w="85" w:type="dxa"/>
              <w:bottom w:w="45" w:type="dxa"/>
              <w:right w:w="85" w:type="dxa"/>
            </w:tcMar>
          </w:tcPr>
          <w:p>
            <w:pPr>
              <w:spacing w:after="0" w:before="0"/>
            </w:pPr>
            <w:r>
              <w:rPr>
                <w:b w:val="0"/>
                <w:color w:val="33414F"/>
                <w:sz w:val="18"/>
              </w:rPr>
              <w:t xml:space="preserve">12</w:t>
            </w:r>
          </w:p>
        </w:tc>
        <w:tc>
          <w:tcPr>
            <w:tcW w:w="1400" w:type="dxa"/>
            <w:tcMar>
              <w:top w:w="45" w:type="dxa"/>
              <w:left w:w="85" w:type="dxa"/>
              <w:bottom w:w="45" w:type="dxa"/>
              <w:right w:w="85" w:type="dxa"/>
            </w:tcMar>
          </w:tcPr>
          <w:p>
            <w:pPr>
              <w:spacing w:after="0" w:before="0"/>
            </w:pPr>
            <w:r>
              <w:rPr>
                <w:b w:val="0"/>
                <w:color w:val="33414F"/>
                <w:sz w:val="18"/>
              </w:rPr>
              <w:t xml:space="preserve">P2</w:t>
            </w:r>
          </w:p>
        </w:tc>
        <w:tc>
          <w:tcPr>
            <w:tcW w:w="1300" w:type="dxa"/>
            <w:tcMar>
              <w:top w:w="45" w:type="dxa"/>
              <w:left w:w="85" w:type="dxa"/>
              <w:bottom w:w="45" w:type="dxa"/>
              <w:right w:w="85" w:type="dxa"/>
            </w:tcMar>
          </w:tcPr>
          <w:p>
            <w:pPr>
              <w:spacing w:after="0" w:before="0"/>
            </w:pPr>
            <w:r>
              <w:rPr>
                <w:b w:val="0"/>
                <w:color w:val="33414F"/>
                <w:sz w:val="18"/>
              </w:rPr>
              <w:t xml:space="preserve">Ionity</w:t>
            </w:r>
          </w:p>
        </w:tc>
      </w:tr>
      <w:tr>
        <w:tc>
          <w:tcPr>
            <w:tcW w:w="1000" w:type="dxa"/>
            <w:tcMar>
              <w:top w:w="45" w:type="dxa"/>
              <w:left w:w="85" w:type="dxa"/>
              <w:bottom w:w="45" w:type="dxa"/>
              <w:right w:w="85" w:type="dxa"/>
            </w:tcMar>
          </w:tcPr>
          <w:p>
            <w:pPr>
              <w:spacing w:after="0" w:before="0"/>
            </w:pPr>
            <w:r>
              <w:rPr>
                <w:b w:val="0"/>
                <w:color w:val="33414F"/>
                <w:sz w:val="18"/>
              </w:rPr>
              <w:t xml:space="preserve">F-08</w:t>
            </w:r>
          </w:p>
        </w:tc>
        <w:tc>
          <w:tcPr>
            <w:tcW w:w="3800" w:type="dxa"/>
            <w:tcMar>
              <w:top w:w="45" w:type="dxa"/>
              <w:left w:w="85" w:type="dxa"/>
              <w:bottom w:w="45" w:type="dxa"/>
              <w:right w:w="85" w:type="dxa"/>
            </w:tcMar>
          </w:tcPr>
          <w:p>
            <w:pPr>
              <w:spacing w:after="0" w:before="0"/>
            </w:pPr>
            <w:r>
              <w:rPr>
                <w:b w:val="0"/>
                <w:color w:val="33414F"/>
                <w:sz w:val="18"/>
              </w:rPr>
              <w:t xml:space="preserve">Vendor custody — single-vendor code &amp; knowledge custody, active loss</w:t>
            </w:r>
          </w:p>
        </w:tc>
        <w:tc>
          <w:tcPr>
            <w:tcW w:w="1400" w:type="dxa"/>
            <w:tcMar>
              <w:top w:w="45" w:type="dxa"/>
              <w:left w:w="85" w:type="dxa"/>
              <w:bottom w:w="45" w:type="dxa"/>
              <w:right w:w="85" w:type="dxa"/>
            </w:tcMar>
          </w:tcPr>
          <w:p>
            <w:pPr>
              <w:spacing w:after="0" w:before="0"/>
            </w:pPr>
            <w:r>
              <w:rPr>
                <w:b w:val="0"/>
                <w:color w:val="33414F"/>
                <w:sz w:val="18"/>
              </w:rPr>
              <w:t xml:space="preserve">12</w:t>
            </w:r>
          </w:p>
        </w:tc>
        <w:tc>
          <w:tcPr>
            <w:tcW w:w="1400" w:type="dxa"/>
            <w:tcMar>
              <w:top w:w="45" w:type="dxa"/>
              <w:left w:w="85" w:type="dxa"/>
              <w:bottom w:w="45" w:type="dxa"/>
              <w:right w:w="85" w:type="dxa"/>
            </w:tcMar>
          </w:tcPr>
          <w:p>
            <w:pPr>
              <w:spacing w:after="0" w:before="0"/>
            </w:pPr>
            <w:r>
              <w:rPr>
                <w:b w:val="0"/>
                <w:color w:val="33414F"/>
                <w:sz w:val="18"/>
              </w:rPr>
              <w:t xml:space="preserve">P2</w:t>
            </w:r>
          </w:p>
        </w:tc>
        <w:tc>
          <w:tcPr>
            <w:tcW w:w="1300" w:type="dxa"/>
            <w:tcMar>
              <w:top w:w="45" w:type="dxa"/>
              <w:left w:w="85" w:type="dxa"/>
              <w:bottom w:w="45" w:type="dxa"/>
              <w:right w:w="85" w:type="dxa"/>
            </w:tcMar>
          </w:tcPr>
          <w:p>
            <w:pPr>
              <w:spacing w:after="0" w:before="0"/>
            </w:pPr>
            <w:r>
              <w:rPr>
                <w:b w:val="0"/>
                <w:color w:val="33414F"/>
                <w:sz w:val="18"/>
              </w:rPr>
              <w:t xml:space="preserve">Ionity + Neetin</w:t>
            </w:r>
          </w:p>
        </w:tc>
      </w:tr>
      <w:tr>
        <w:tc>
          <w:tcPr>
            <w:tcW w:w="1000" w:type="dxa"/>
            <w:tcMar>
              <w:top w:w="45" w:type="dxa"/>
              <w:left w:w="85" w:type="dxa"/>
              <w:bottom w:w="45" w:type="dxa"/>
              <w:right w:w="85" w:type="dxa"/>
            </w:tcMar>
          </w:tcPr>
          <w:p>
            <w:pPr>
              <w:spacing w:after="0" w:before="0"/>
            </w:pPr>
            <w:r>
              <w:rPr>
                <w:b w:val="0"/>
                <w:color w:val="33414F"/>
                <w:sz w:val="18"/>
              </w:rPr>
              <w:t xml:space="preserve">F-09</w:t>
            </w:r>
          </w:p>
        </w:tc>
        <w:tc>
          <w:tcPr>
            <w:tcW w:w="3800" w:type="dxa"/>
            <w:tcMar>
              <w:top w:w="45" w:type="dxa"/>
              <w:left w:w="85" w:type="dxa"/>
              <w:bottom w:w="45" w:type="dxa"/>
              <w:right w:w="85" w:type="dxa"/>
            </w:tcMar>
          </w:tcPr>
          <w:p>
            <w:pPr>
              <w:spacing w:after="0" w:before="0"/>
            </w:pPr>
            <w:r>
              <w:rPr>
                <w:b w:val="0"/>
                <w:color w:val="33414F"/>
                <w:sz w:val="18"/>
              </w:rPr>
              <w:t xml:space="preserve">Data integrity — duplicate client records on special PI</w:t>
            </w:r>
          </w:p>
        </w:tc>
        <w:tc>
          <w:tcPr>
            <w:tcW w:w="1400" w:type="dxa"/>
            <w:tcMar>
              <w:top w:w="45" w:type="dxa"/>
              <w:left w:w="85" w:type="dxa"/>
              <w:bottom w:w="45" w:type="dxa"/>
              <w:right w:w="85" w:type="dxa"/>
            </w:tcMar>
          </w:tcPr>
          <w:p>
            <w:pPr>
              <w:spacing w:after="0" w:before="0"/>
            </w:pPr>
            <w:r>
              <w:rPr>
                <w:b w:val="0"/>
                <w:color w:val="33414F"/>
                <w:sz w:val="18"/>
              </w:rPr>
              <w:t xml:space="preserve">12</w:t>
            </w:r>
          </w:p>
        </w:tc>
        <w:tc>
          <w:tcPr>
            <w:tcW w:w="1400" w:type="dxa"/>
            <w:tcMar>
              <w:top w:w="45" w:type="dxa"/>
              <w:left w:w="85" w:type="dxa"/>
              <w:bottom w:w="45" w:type="dxa"/>
              <w:right w:w="85" w:type="dxa"/>
            </w:tcMar>
          </w:tcPr>
          <w:p>
            <w:pPr>
              <w:spacing w:after="0" w:before="0"/>
            </w:pPr>
            <w:r>
              <w:rPr>
                <w:b w:val="0"/>
                <w:color w:val="33414F"/>
                <w:sz w:val="18"/>
              </w:rPr>
              <w:t xml:space="preserve">P2</w:t>
            </w:r>
          </w:p>
        </w:tc>
        <w:tc>
          <w:tcPr>
            <w:tcW w:w="1300" w:type="dxa"/>
            <w:tcMar>
              <w:top w:w="45" w:type="dxa"/>
              <w:left w:w="85" w:type="dxa"/>
              <w:bottom w:w="45" w:type="dxa"/>
              <w:right w:w="85" w:type="dxa"/>
            </w:tcMar>
          </w:tcPr>
          <w:p>
            <w:pPr>
              <w:spacing w:after="0" w:before="0"/>
            </w:pPr>
            <w:r>
              <w:rPr>
                <w:b w:val="0"/>
                <w:color w:val="33414F"/>
                <w:sz w:val="18"/>
              </w:rPr>
              <w:t xml:space="preserve">Ionity + Neetin</w:t>
            </w:r>
          </w:p>
        </w:tc>
      </w:tr>
    </w:tbl>
    <w:p>
      <w:pPr>
        <w:spacing w:after="80"/>
      </w:pP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8.1 Cloud forensics highlights (TOPEND numbering) — the quick-win week</w:t>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200"/>
        <w:gridCol w:w="4700"/>
        <w:gridCol w:w="3000"/>
      </w:tblGrid>
      <w:tr>
        <w:tc>
          <w:tcPr>
            <w:tcW w:w="1200" w:type="dxa"/>
            <w:shd w:val="clear" w:color="auto" w:fill="0D2137"/>
            <w:tcMar>
              <w:top w:w="45" w:type="dxa"/>
              <w:left w:w="85" w:type="dxa"/>
              <w:bottom w:w="45" w:type="dxa"/>
              <w:right w:w="85" w:type="dxa"/>
            </w:tcMar>
          </w:tcPr>
          <w:p>
            <w:pPr>
              <w:spacing w:after="0" w:before="0"/>
            </w:pPr>
            <w:r>
              <w:rPr>
                <w:b/>
                <w:color w:val="FFFFFF"/>
                <w:sz w:val="18"/>
              </w:rPr>
              <w:t xml:space="preserve">TOPEND ID</w:t>
            </w:r>
          </w:p>
        </w:tc>
        <w:tc>
          <w:tcPr>
            <w:tcW w:w="4700" w:type="dxa"/>
            <w:shd w:val="clear" w:color="auto" w:fill="0D2137"/>
            <w:tcMar>
              <w:top w:w="45" w:type="dxa"/>
              <w:left w:w="85" w:type="dxa"/>
              <w:bottom w:w="45" w:type="dxa"/>
              <w:right w:w="85" w:type="dxa"/>
            </w:tcMar>
          </w:tcPr>
          <w:p>
            <w:pPr>
              <w:spacing w:after="0" w:before="0"/>
            </w:pPr>
            <w:r>
              <w:rPr>
                <w:b/>
                <w:color w:val="FFFFFF"/>
                <w:sz w:val="18"/>
              </w:rPr>
              <w:t xml:space="preserve">Finding</w:t>
            </w:r>
          </w:p>
        </w:tc>
        <w:tc>
          <w:tcPr>
            <w:tcW w:w="3000" w:type="dxa"/>
            <w:shd w:val="clear" w:color="auto" w:fill="0D2137"/>
            <w:tcMar>
              <w:top w:w="45" w:type="dxa"/>
              <w:left w:w="85" w:type="dxa"/>
              <w:bottom w:w="45" w:type="dxa"/>
              <w:right w:w="85" w:type="dxa"/>
            </w:tcMar>
          </w:tcPr>
          <w:p>
            <w:pPr>
              <w:spacing w:after="0" w:before="0"/>
            </w:pPr>
            <w:r>
              <w:rPr>
                <w:b/>
                <w:color w:val="FFFFFF"/>
                <w:sz w:val="18"/>
              </w:rPr>
              <w:t xml:space="preserve">Immediate action (§7.1 quick wins)</w:t>
            </w:r>
          </w:p>
        </w:tc>
      </w:tr>
      <w:tr>
        <w:tc>
          <w:tcPr>
            <w:tcW w:w="1200" w:type="dxa"/>
            <w:tcMar>
              <w:top w:w="45" w:type="dxa"/>
              <w:left w:w="85" w:type="dxa"/>
              <w:bottom w:w="45" w:type="dxa"/>
              <w:right w:w="85" w:type="dxa"/>
            </w:tcMar>
          </w:tcPr>
          <w:p>
            <w:pPr>
              <w:spacing w:after="0" w:before="0"/>
            </w:pPr>
            <w:r>
              <w:rPr>
                <w:b w:val="0"/>
                <w:color w:val="33414F"/>
                <w:sz w:val="18"/>
              </w:rPr>
              <w:t xml:space="preserve">F-23</w:t>
            </w:r>
          </w:p>
        </w:tc>
        <w:tc>
          <w:tcPr>
            <w:tcW w:w="4700" w:type="dxa"/>
            <w:tcMar>
              <w:top w:w="45" w:type="dxa"/>
              <w:left w:w="85" w:type="dxa"/>
              <w:bottom w:w="45" w:type="dxa"/>
              <w:right w:w="85" w:type="dxa"/>
            </w:tcMar>
          </w:tcPr>
          <w:p>
            <w:pPr>
              <w:spacing w:after="0" w:before="0"/>
            </w:pPr>
            <w:r>
              <w:rPr>
                <w:b w:val="0"/>
                <w:color w:val="33414F"/>
                <w:sz w:val="18"/>
              </w:rPr>
              <w:t xml:space="preserve">No multi-region CloudTrail / Config / GuardDuty — no record of API activity (RED · P1)</w:t>
            </w:r>
          </w:p>
        </w:tc>
        <w:tc>
          <w:tcPr>
            <w:tcW w:w="3000" w:type="dxa"/>
            <w:tcMar>
              <w:top w:w="45" w:type="dxa"/>
              <w:left w:w="85" w:type="dxa"/>
              <w:bottom w:w="45" w:type="dxa"/>
              <w:right w:w="85" w:type="dxa"/>
            </w:tcMar>
          </w:tcPr>
          <w:p>
            <w:pPr>
              <w:spacing w:after="0" w:before="0"/>
            </w:pPr>
            <w:r>
              <w:rPr>
                <w:b w:val="0"/>
                <w:color w:val="33414F"/>
                <w:sz w:val="18"/>
              </w:rPr>
              <w:t xml:space="preserve">Enable multi-region CloudTrail + Config + GuardDuty</w:t>
            </w:r>
          </w:p>
        </w:tc>
      </w:tr>
      <w:tr>
        <w:tc>
          <w:tcPr>
            <w:tcW w:w="1200" w:type="dxa"/>
            <w:tcMar>
              <w:top w:w="45" w:type="dxa"/>
              <w:left w:w="85" w:type="dxa"/>
              <w:bottom w:w="45" w:type="dxa"/>
              <w:right w:w="85" w:type="dxa"/>
            </w:tcMar>
          </w:tcPr>
          <w:p>
            <w:pPr>
              <w:spacing w:after="0" w:before="0"/>
            </w:pPr>
            <w:r>
              <w:rPr>
                <w:b w:val="0"/>
                <w:color w:val="33414F"/>
                <w:sz w:val="18"/>
              </w:rPr>
              <w:t xml:space="preserve">F-24</w:t>
            </w:r>
          </w:p>
        </w:tc>
        <w:tc>
          <w:tcPr>
            <w:tcW w:w="4700" w:type="dxa"/>
            <w:tcMar>
              <w:top w:w="45" w:type="dxa"/>
              <w:left w:w="85" w:type="dxa"/>
              <w:bottom w:w="45" w:type="dxa"/>
              <w:right w:w="85" w:type="dxa"/>
            </w:tcMar>
          </w:tcPr>
          <w:p>
            <w:pPr>
              <w:spacing w:after="0" w:before="0"/>
            </w:pPr>
            <w:r>
              <w:rPr>
                <w:b w:val="0"/>
                <w:color w:val="33414F"/>
                <w:sz w:val="18"/>
              </w:rPr>
              <w:t xml:space="preserve">Root access key in use — no MFA, keys unrotated (RED · P1)</w:t>
            </w:r>
          </w:p>
        </w:tc>
        <w:tc>
          <w:tcPr>
            <w:tcW w:w="3000" w:type="dxa"/>
            <w:tcMar>
              <w:top w:w="45" w:type="dxa"/>
              <w:left w:w="85" w:type="dxa"/>
              <w:bottom w:w="45" w:type="dxa"/>
              <w:right w:w="85" w:type="dxa"/>
            </w:tcMar>
          </w:tcPr>
          <w:p>
            <w:pPr>
              <w:spacing w:after="0" w:before="0"/>
            </w:pPr>
            <w:r>
              <w:rPr>
                <w:b w:val="0"/>
                <w:color w:val="33414F"/>
                <w:sz w:val="18"/>
              </w:rPr>
              <w:t xml:space="preserve">Retire the root key; enforce MFA (0/6 on AWS today)</w:t>
            </w:r>
          </w:p>
        </w:tc>
      </w:tr>
      <w:tr>
        <w:tc>
          <w:tcPr>
            <w:tcW w:w="1200" w:type="dxa"/>
            <w:tcMar>
              <w:top w:w="45" w:type="dxa"/>
              <w:left w:w="85" w:type="dxa"/>
              <w:bottom w:w="45" w:type="dxa"/>
              <w:right w:w="85" w:type="dxa"/>
            </w:tcMar>
          </w:tcPr>
          <w:p>
            <w:pPr>
              <w:spacing w:after="0" w:before="0"/>
            </w:pPr>
            <w:r>
              <w:rPr>
                <w:b w:val="0"/>
                <w:color w:val="33414F"/>
                <w:sz w:val="18"/>
              </w:rPr>
              <w:t xml:space="preserve">F-25</w:t>
            </w:r>
          </w:p>
        </w:tc>
        <w:tc>
          <w:tcPr>
            <w:tcW w:w="4700" w:type="dxa"/>
            <w:tcMar>
              <w:top w:w="45" w:type="dxa"/>
              <w:left w:w="85" w:type="dxa"/>
              <w:bottom w:w="45" w:type="dxa"/>
              <w:right w:w="85" w:type="dxa"/>
            </w:tcMar>
          </w:tcPr>
          <w:p>
            <w:pPr>
              <w:spacing w:after="0" w:before="0"/>
            </w:pPr>
            <w:r>
              <w:rPr>
                <w:b w:val="0"/>
                <w:color w:val="33414F"/>
                <w:sz w:val="18"/>
              </w:rPr>
              <w:t xml:space="preserve">Security groups open to 0.0.0.0/0 on sync &amp; enrolment tiers (RED · P1)</w:t>
            </w:r>
          </w:p>
        </w:tc>
        <w:tc>
          <w:tcPr>
            <w:tcW w:w="3000" w:type="dxa"/>
            <w:tcMar>
              <w:top w:w="45" w:type="dxa"/>
              <w:left w:w="85" w:type="dxa"/>
              <w:bottom w:w="45" w:type="dxa"/>
              <w:right w:w="85" w:type="dxa"/>
            </w:tcMar>
          </w:tcPr>
          <w:p>
            <w:pPr>
              <w:spacing w:after="0" w:before="0"/>
            </w:pPr>
            <w:r>
              <w:rPr>
                <w:b w:val="0"/>
                <w:color w:val="33414F"/>
                <w:sz w:val="18"/>
              </w:rPr>
              <w:t xml:space="preserve">Close the groups to known ranges</w:t>
            </w:r>
          </w:p>
        </w:tc>
      </w:tr>
      <w:tr>
        <w:tc>
          <w:tcPr>
            <w:tcW w:w="1200" w:type="dxa"/>
            <w:tcMar>
              <w:top w:w="45" w:type="dxa"/>
              <w:left w:w="85" w:type="dxa"/>
              <w:bottom w:w="45" w:type="dxa"/>
              <w:right w:w="85" w:type="dxa"/>
            </w:tcMar>
          </w:tcPr>
          <w:p>
            <w:pPr>
              <w:spacing w:after="0" w:before="0"/>
            </w:pPr>
            <w:r>
              <w:rPr>
                <w:b w:val="0"/>
                <w:color w:val="33414F"/>
                <w:sz w:val="18"/>
              </w:rPr>
              <w:t xml:space="preserve">F-26</w:t>
            </w:r>
          </w:p>
        </w:tc>
        <w:tc>
          <w:tcPr>
            <w:tcW w:w="4700" w:type="dxa"/>
            <w:tcMar>
              <w:top w:w="45" w:type="dxa"/>
              <w:left w:w="85" w:type="dxa"/>
              <w:bottom w:w="45" w:type="dxa"/>
              <w:right w:w="85" w:type="dxa"/>
            </w:tcMar>
          </w:tcPr>
          <w:p>
            <w:pPr>
              <w:spacing w:after="0" w:before="0"/>
            </w:pPr>
            <w:r>
              <w:rPr>
                <w:b w:val="0"/>
                <w:color w:val="33414F"/>
                <w:sz w:val="18"/>
              </w:rPr>
              <w:t xml:space="preserve">S3 bucket "shoutitnow-hosted-content" publicly accessible (AMBER · P2)</w:t>
            </w:r>
          </w:p>
        </w:tc>
        <w:tc>
          <w:tcPr>
            <w:tcW w:w="3000" w:type="dxa"/>
            <w:tcMar>
              <w:top w:w="45" w:type="dxa"/>
              <w:left w:w="85" w:type="dxa"/>
              <w:bottom w:w="45" w:type="dxa"/>
              <w:right w:w="85" w:type="dxa"/>
            </w:tcMar>
          </w:tcPr>
          <w:p>
            <w:pPr>
              <w:spacing w:after="0" w:before="0"/>
            </w:pPr>
            <w:r>
              <w:rPr>
                <w:b w:val="0"/>
                <w:color w:val="33414F"/>
                <w:sz w:val="18"/>
              </w:rPr>
              <w:t xml:space="preserve">Fix bucket policy; verify contents</w:t>
            </w:r>
          </w:p>
        </w:tc>
      </w:tr>
      <w:tr>
        <w:tc>
          <w:tcPr>
            <w:tcW w:w="1200" w:type="dxa"/>
            <w:tcMar>
              <w:top w:w="45" w:type="dxa"/>
              <w:left w:w="85" w:type="dxa"/>
              <w:bottom w:w="45" w:type="dxa"/>
              <w:right w:w="85" w:type="dxa"/>
            </w:tcMar>
          </w:tcPr>
          <w:p>
            <w:pPr>
              <w:spacing w:after="0" w:before="0"/>
            </w:pPr>
            <w:r>
              <w:rPr>
                <w:b w:val="0"/>
                <w:color w:val="33414F"/>
                <w:sz w:val="18"/>
              </w:rPr>
              <w:t xml:space="preserve">F-27</w:t>
            </w:r>
          </w:p>
        </w:tc>
        <w:tc>
          <w:tcPr>
            <w:tcW w:w="4700" w:type="dxa"/>
            <w:tcMar>
              <w:top w:w="45" w:type="dxa"/>
              <w:left w:w="85" w:type="dxa"/>
              <w:bottom w:w="45" w:type="dxa"/>
              <w:right w:w="85" w:type="dxa"/>
            </w:tcMar>
          </w:tcPr>
          <w:p>
            <w:pPr>
              <w:spacing w:after="0" w:before="0"/>
            </w:pPr>
            <w:r>
              <w:rPr>
                <w:b w:val="0"/>
                <w:color w:val="33414F"/>
                <w:sz w:val="18"/>
              </w:rPr>
              <w:t xml:space="preserve">Clinical RDS Single-AZ — no failover</w:t>
            </w:r>
          </w:p>
        </w:tc>
        <w:tc>
          <w:tcPr>
            <w:tcW w:w="3000" w:type="dxa"/>
            <w:tcMar>
              <w:top w:w="45" w:type="dxa"/>
              <w:left w:w="85" w:type="dxa"/>
              <w:bottom w:w="45" w:type="dxa"/>
              <w:right w:w="85" w:type="dxa"/>
            </w:tcMar>
          </w:tcPr>
          <w:p>
            <w:pPr>
              <w:spacing w:after="0" w:before="0"/>
            </w:pPr>
            <w:r>
              <w:rPr>
                <w:b w:val="0"/>
                <w:color w:val="33414F"/>
                <w:sz w:val="18"/>
              </w:rPr>
              <w:t xml:space="preserve">HA DB pair designed into the Ionity cluster</w:t>
            </w:r>
          </w:p>
        </w:tc>
      </w:tr>
      <w:tr>
        <w:tc>
          <w:tcPr>
            <w:tcW w:w="1200" w:type="dxa"/>
            <w:tcMar>
              <w:top w:w="45" w:type="dxa"/>
              <w:left w:w="85" w:type="dxa"/>
              <w:bottom w:w="45" w:type="dxa"/>
              <w:right w:w="85" w:type="dxa"/>
            </w:tcMar>
          </w:tcPr>
          <w:p>
            <w:pPr>
              <w:spacing w:after="0" w:before="0"/>
            </w:pPr>
            <w:r>
              <w:rPr>
                <w:b w:val="0"/>
                <w:color w:val="33414F"/>
                <w:sz w:val="18"/>
              </w:rPr>
              <w:t xml:space="preserve">F-01 (TOPEND)</w:t>
            </w:r>
          </w:p>
        </w:tc>
        <w:tc>
          <w:tcPr>
            <w:tcW w:w="4700" w:type="dxa"/>
            <w:tcMar>
              <w:top w:w="45" w:type="dxa"/>
              <w:left w:w="85" w:type="dxa"/>
              <w:bottom w:w="45" w:type="dxa"/>
              <w:right w:w="85" w:type="dxa"/>
            </w:tcMar>
          </w:tcPr>
          <w:p>
            <w:pPr>
              <w:spacing w:after="0" w:before="0"/>
            </w:pPr>
            <w:r>
              <w:rPr>
                <w:b w:val="0"/>
                <w:color w:val="33414F"/>
                <w:sz w:val="18"/>
              </w:rPr>
              <w:t xml:space="preserve">Mobile-clinic SYNC layer maintained reactively by two people, no SLA — the artery of the estate</w:t>
            </w:r>
          </w:p>
        </w:tc>
        <w:tc>
          <w:tcPr>
            <w:tcW w:w="3000" w:type="dxa"/>
            <w:tcMar>
              <w:top w:w="45" w:type="dxa"/>
              <w:left w:w="85" w:type="dxa"/>
              <w:bottom w:w="45" w:type="dxa"/>
              <w:right w:w="85" w:type="dxa"/>
            </w:tcMar>
          </w:tcPr>
          <w:p>
            <w:pPr>
              <w:spacing w:after="0" w:before="0"/>
            </w:pPr>
            <w:r>
              <w:rPr>
                <w:b w:val="0"/>
                <w:color w:val="33414F"/>
                <w:sz w:val="18"/>
              </w:rPr>
              <w:t xml:space="preserve">Dedicated, monitored SYNC node with health-checks (cluster design)</w:t>
            </w:r>
          </w:p>
        </w:tc>
      </w:tr>
      <w:tr>
        <w:tc>
          <w:tcPr>
            <w:tcW w:w="1200" w:type="dxa"/>
            <w:tcMar>
              <w:top w:w="45" w:type="dxa"/>
              <w:left w:w="85" w:type="dxa"/>
              <w:bottom w:w="45" w:type="dxa"/>
              <w:right w:w="85" w:type="dxa"/>
            </w:tcMar>
          </w:tcPr>
          <w:p>
            <w:pPr>
              <w:spacing w:after="0" w:before="0"/>
            </w:pPr>
            <w:r>
              <w:rPr>
                <w:b w:val="0"/>
                <w:color w:val="33414F"/>
                <w:sz w:val="18"/>
              </w:rPr>
              <w:t xml:space="preserve">F-02 (TOPEND)</w:t>
            </w:r>
          </w:p>
        </w:tc>
        <w:tc>
          <w:tcPr>
            <w:tcW w:w="4700" w:type="dxa"/>
            <w:tcMar>
              <w:top w:w="45" w:type="dxa"/>
              <w:left w:w="85" w:type="dxa"/>
              <w:bottom w:w="45" w:type="dxa"/>
              <w:right w:w="85" w:type="dxa"/>
            </w:tcMar>
          </w:tcPr>
          <w:p>
            <w:pPr>
              <w:spacing w:after="0" w:before="0"/>
            </w:pPr>
            <w:r>
              <w:rPr>
                <w:b w:val="0"/>
                <w:color w:val="33414F"/>
                <w:sz w:val="18"/>
              </w:rPr>
              <w:t xml:space="preserve">Supplier concentration — clinical core on one external developer; knowledge loss active</w:t>
            </w:r>
          </w:p>
        </w:tc>
        <w:tc>
          <w:tcPr>
            <w:tcW w:w="3000" w:type="dxa"/>
            <w:tcMar>
              <w:top w:w="45" w:type="dxa"/>
              <w:left w:w="85" w:type="dxa"/>
              <w:bottom w:w="45" w:type="dxa"/>
              <w:right w:w="85" w:type="dxa"/>
            </w:tcMar>
          </w:tcPr>
          <w:p>
            <w:pPr>
              <w:spacing w:after="0" w:before="0"/>
            </w:pPr>
            <w:r>
              <w:rPr>
                <w:b w:val="0"/>
                <w:color w:val="33414F"/>
                <w:sz w:val="18"/>
              </w:rPr>
              <w:t xml:space="preserve">Code custody consolidation; escrow; central takeover</w:t>
            </w:r>
          </w:p>
        </w:tc>
      </w:tr>
    </w:tbl>
    <w:p>
      <w:pPr>
        <w:spacing w:after="80"/>
      </w:pP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8.2 Gains ledger — every line traceable to a finding</w:t>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100"/>
        <w:gridCol w:w="4600"/>
        <w:gridCol w:w="3200"/>
      </w:tblGrid>
      <w:tr>
        <w:tc>
          <w:tcPr>
            <w:tcW w:w="1100" w:type="dxa"/>
            <w:shd w:val="clear" w:color="auto" w:fill="0D2137"/>
            <w:tcMar>
              <w:top w:w="45" w:type="dxa"/>
              <w:left w:w="85" w:type="dxa"/>
              <w:bottom w:w="45" w:type="dxa"/>
              <w:right w:w="85" w:type="dxa"/>
            </w:tcMar>
          </w:tcPr>
          <w:p>
            <w:pPr>
              <w:spacing w:after="0" w:before="0"/>
            </w:pPr>
            <w:r>
              <w:rPr>
                <w:b/>
                <w:color w:val="FFFFFF"/>
                <w:sz w:val="18"/>
              </w:rPr>
              <w:t xml:space="preserve">Gain</w:t>
            </w:r>
          </w:p>
        </w:tc>
        <w:tc>
          <w:tcPr>
            <w:tcW w:w="4600" w:type="dxa"/>
            <w:shd w:val="clear" w:color="auto" w:fill="0D2137"/>
            <w:tcMar>
              <w:top w:w="45" w:type="dxa"/>
              <w:left w:w="85" w:type="dxa"/>
              <w:bottom w:w="45" w:type="dxa"/>
              <w:right w:w="85" w:type="dxa"/>
            </w:tcMar>
          </w:tcPr>
          <w:p>
            <w:pPr>
              <w:spacing w:after="0" w:before="0"/>
            </w:pPr>
            <w:r>
              <w:rPr>
                <w:b/>
                <w:color w:val="FFFFFF"/>
                <w:sz w:val="18"/>
              </w:rPr>
              <w:t xml:space="preserve">Action (source findings)</w:t>
            </w:r>
          </w:p>
        </w:tc>
        <w:tc>
          <w:tcPr>
            <w:tcW w:w="3200" w:type="dxa"/>
            <w:shd w:val="clear" w:color="auto" w:fill="0D2137"/>
            <w:tcMar>
              <w:top w:w="45" w:type="dxa"/>
              <w:left w:w="85" w:type="dxa"/>
              <w:bottom w:w="45" w:type="dxa"/>
              <w:right w:w="85" w:type="dxa"/>
            </w:tcMar>
          </w:tcPr>
          <w:p>
            <w:pPr>
              <w:spacing w:after="0" w:before="0"/>
            </w:pPr>
            <w:r>
              <w:rPr>
                <w:b/>
                <w:color w:val="FFFFFF"/>
                <w:sz w:val="18"/>
              </w:rPr>
              <w:t xml:space="preserve">Annual effect</w:t>
            </w:r>
          </w:p>
        </w:tc>
      </w:tr>
      <w:tr>
        <w:tc>
          <w:tcPr>
            <w:tcW w:w="1100" w:type="dxa"/>
            <w:tcMar>
              <w:top w:w="45" w:type="dxa"/>
              <w:left w:w="85" w:type="dxa"/>
              <w:bottom w:w="45" w:type="dxa"/>
              <w:right w:w="85" w:type="dxa"/>
            </w:tcMar>
          </w:tcPr>
          <w:p>
            <w:pPr>
              <w:spacing w:after="0" w:before="0"/>
            </w:pPr>
            <w:r>
              <w:rPr>
                <w:b w:val="0"/>
                <w:color w:val="33414F"/>
                <w:sz w:val="18"/>
              </w:rPr>
              <w:t xml:space="preserve">G-1</w:t>
            </w:r>
          </w:p>
        </w:tc>
        <w:tc>
          <w:tcPr>
            <w:tcW w:w="4600" w:type="dxa"/>
            <w:tcMar>
              <w:top w:w="45" w:type="dxa"/>
              <w:left w:w="85" w:type="dxa"/>
              <w:bottom w:w="45" w:type="dxa"/>
              <w:right w:w="85" w:type="dxa"/>
            </w:tcMar>
          </w:tcPr>
          <w:p>
            <w:pPr>
              <w:spacing w:after="0" w:before="0"/>
            </w:pPr>
            <w:r>
              <w:rPr>
                <w:b w:val="0"/>
                <w:color w:val="33414F"/>
                <w:sz w:val="18"/>
              </w:rPr>
              <w:t xml:space="preserve">Exit AWS → Ionity Private Intranet, CLINICAL tier — all AWS workloads (F-06 · F-07 · F-23–F-27)</w:t>
            </w:r>
          </w:p>
        </w:tc>
        <w:tc>
          <w:tcPr>
            <w:tcW w:w="3200" w:type="dxa"/>
            <w:tcMar>
              <w:top w:w="45" w:type="dxa"/>
              <w:left w:w="85" w:type="dxa"/>
              <w:bottom w:w="45" w:type="dxa"/>
              <w:right w:w="85" w:type="dxa"/>
            </w:tcMar>
          </w:tcPr>
          <w:p>
            <w:pPr>
              <w:spacing w:after="0" w:before="0"/>
            </w:pPr>
            <w:r>
              <w:rPr>
                <w:b w:val="0"/>
                <w:color w:val="33414F"/>
                <w:sz w:val="18"/>
              </w:rPr>
              <w:t xml:space="preserve">+ R117 600 recurring; removes an AWS cliff exposure of up to R630 000/yr from Sep 2026</w:t>
            </w:r>
          </w:p>
        </w:tc>
      </w:tr>
      <w:tr>
        <w:tc>
          <w:tcPr>
            <w:tcW w:w="1100" w:type="dxa"/>
            <w:tcMar>
              <w:top w:w="45" w:type="dxa"/>
              <w:left w:w="85" w:type="dxa"/>
              <w:bottom w:w="45" w:type="dxa"/>
              <w:right w:w="85" w:type="dxa"/>
            </w:tcMar>
          </w:tcPr>
          <w:p>
            <w:pPr>
              <w:spacing w:after="0" w:before="0"/>
            </w:pPr>
            <w:r>
              <w:rPr>
                <w:b w:val="0"/>
                <w:color w:val="33414F"/>
                <w:sz w:val="18"/>
              </w:rPr>
              <w:t xml:space="preserve">G-2</w:t>
            </w:r>
          </w:p>
        </w:tc>
        <w:tc>
          <w:tcPr>
            <w:tcW w:w="4600" w:type="dxa"/>
            <w:tcMar>
              <w:top w:w="45" w:type="dxa"/>
              <w:left w:w="85" w:type="dxa"/>
              <w:bottom w:w="45" w:type="dxa"/>
              <w:right w:w="85" w:type="dxa"/>
            </w:tcMar>
          </w:tcPr>
          <w:p>
            <w:pPr>
              <w:spacing w:after="0" w:before="0"/>
            </w:pPr>
            <w:r>
              <w:rPr>
                <w:b w:val="0"/>
                <w:color w:val="33414F"/>
                <w:sz w:val="18"/>
              </w:rPr>
              <w:t xml:space="preserve">Decommission dormant Snipe-IT; asset register into the finance backbone (F-11)</w:t>
            </w:r>
          </w:p>
        </w:tc>
        <w:tc>
          <w:tcPr>
            <w:tcW w:w="3200" w:type="dxa"/>
            <w:tcMar>
              <w:top w:w="45" w:type="dxa"/>
              <w:left w:w="85" w:type="dxa"/>
              <w:bottom w:w="45" w:type="dxa"/>
              <w:right w:w="85" w:type="dxa"/>
            </w:tcMar>
          </w:tcPr>
          <w:p>
            <w:pPr>
              <w:spacing w:after="0" w:before="0"/>
            </w:pPr>
            <w:r>
              <w:rPr>
                <w:b w:val="0"/>
                <w:color w:val="33414F"/>
                <w:sz w:val="18"/>
              </w:rPr>
              <w:t xml:space="preserve">+ R72 000 — licensed, recorded "Active", not used</w:t>
            </w:r>
          </w:p>
        </w:tc>
      </w:tr>
      <w:tr>
        <w:tc>
          <w:tcPr>
            <w:tcW w:w="1100" w:type="dxa"/>
            <w:tcMar>
              <w:top w:w="45" w:type="dxa"/>
              <w:left w:w="85" w:type="dxa"/>
              <w:bottom w:w="45" w:type="dxa"/>
              <w:right w:w="85" w:type="dxa"/>
            </w:tcMar>
          </w:tcPr>
          <w:p>
            <w:pPr>
              <w:spacing w:after="0" w:before="0"/>
            </w:pPr>
            <w:r>
              <w:rPr>
                <w:b w:val="0"/>
                <w:color w:val="33414F"/>
                <w:sz w:val="18"/>
              </w:rPr>
              <w:t xml:space="preserve">G-3</w:t>
            </w:r>
          </w:p>
        </w:tc>
        <w:tc>
          <w:tcPr>
            <w:tcW w:w="4600" w:type="dxa"/>
            <w:tcMar>
              <w:top w:w="45" w:type="dxa"/>
              <w:left w:w="85" w:type="dxa"/>
              <w:bottom w:w="45" w:type="dxa"/>
              <w:right w:w="85" w:type="dxa"/>
            </w:tcMar>
          </w:tcPr>
          <w:p>
            <w:pPr>
              <w:spacing w:after="0" w:before="0"/>
            </w:pPr>
            <w:r>
              <w:rPr>
                <w:b w:val="0"/>
                <w:color w:val="33414F"/>
                <w:sz w:val="18"/>
              </w:rPr>
              <w:t xml:space="preserve">Retire the Data Warehouse; direct Power BI source links (F-12)</w:t>
            </w:r>
          </w:p>
        </w:tc>
        <w:tc>
          <w:tcPr>
            <w:tcW w:w="3200" w:type="dxa"/>
            <w:tcMar>
              <w:top w:w="45" w:type="dxa"/>
              <w:left w:w="85" w:type="dxa"/>
              <w:bottom w:w="45" w:type="dxa"/>
              <w:right w:w="85" w:type="dxa"/>
            </w:tcMar>
          </w:tcPr>
          <w:p>
            <w:pPr>
              <w:spacing w:after="0" w:before="0"/>
            </w:pPr>
            <w:r>
              <w:rPr>
                <w:b w:val="0"/>
                <w:color w:val="33414F"/>
                <w:sz w:val="18"/>
              </w:rPr>
              <w:t xml:space="preserve">+ R60 000</w:t>
            </w:r>
          </w:p>
        </w:tc>
      </w:tr>
      <w:tr>
        <w:tc>
          <w:tcPr>
            <w:tcW w:w="1100" w:type="dxa"/>
            <w:tcMar>
              <w:top w:w="45" w:type="dxa"/>
              <w:left w:w="85" w:type="dxa"/>
              <w:bottom w:w="45" w:type="dxa"/>
              <w:right w:w="85" w:type="dxa"/>
            </w:tcMar>
          </w:tcPr>
          <w:p>
            <w:pPr>
              <w:spacing w:after="0" w:before="0"/>
            </w:pPr>
            <w:r>
              <w:rPr>
                <w:b w:val="0"/>
                <w:color w:val="33414F"/>
                <w:sz w:val="18"/>
              </w:rPr>
              <w:t xml:space="preserve">G-4</w:t>
            </w:r>
          </w:p>
        </w:tc>
        <w:tc>
          <w:tcPr>
            <w:tcW w:w="4600" w:type="dxa"/>
            <w:tcMar>
              <w:top w:w="45" w:type="dxa"/>
              <w:left w:w="85" w:type="dxa"/>
              <w:bottom w:w="45" w:type="dxa"/>
              <w:right w:w="85" w:type="dxa"/>
            </w:tcMar>
          </w:tcPr>
          <w:p>
            <w:pPr>
              <w:spacing w:after="0" w:before="0"/>
            </w:pPr>
            <w:r>
              <w:rPr>
                <w:b w:val="0"/>
                <w:color w:val="33414F"/>
                <w:sz w:val="18"/>
              </w:rPr>
              <w:t xml:space="preserve">Finance consolidation onto the single ERP route (F-05)</w:t>
            </w:r>
          </w:p>
        </w:tc>
        <w:tc>
          <w:tcPr>
            <w:tcW w:w="3200" w:type="dxa"/>
            <w:tcMar>
              <w:top w:w="45" w:type="dxa"/>
              <w:left w:w="85" w:type="dxa"/>
              <w:bottom w:w="45" w:type="dxa"/>
              <w:right w:w="85" w:type="dxa"/>
            </w:tcMar>
          </w:tcPr>
          <w:p>
            <w:pPr>
              <w:spacing w:after="0" w:before="0"/>
            </w:pPr>
            <w:r>
              <w:rPr>
                <w:b w:val="0"/>
                <w:color w:val="33414F"/>
                <w:sz w:val="18"/>
              </w:rPr>
              <w:t xml:space="preserve">Per commercial pack</w:t>
            </w:r>
          </w:p>
        </w:tc>
      </w:tr>
      <w:tr>
        <w:tc>
          <w:tcPr>
            <w:tcW w:w="1100" w:type="dxa"/>
            <w:tcMar>
              <w:top w:w="45" w:type="dxa"/>
              <w:left w:w="85" w:type="dxa"/>
              <w:bottom w:w="45" w:type="dxa"/>
              <w:right w:w="85" w:type="dxa"/>
            </w:tcMar>
          </w:tcPr>
          <w:p>
            <w:pPr>
              <w:spacing w:after="0" w:before="0"/>
            </w:pPr>
            <w:r>
              <w:rPr>
                <w:b w:val="0"/>
                <w:color w:val="33414F"/>
                <w:sz w:val="18"/>
              </w:rPr>
              <w:t xml:space="preserve">—</w:t>
            </w:r>
          </w:p>
        </w:tc>
        <w:tc>
          <w:tcPr>
            <w:tcW w:w="4600" w:type="dxa"/>
            <w:tcMar>
              <w:top w:w="45" w:type="dxa"/>
              <w:left w:w="85" w:type="dxa"/>
              <w:bottom w:w="45" w:type="dxa"/>
              <w:right w:w="85" w:type="dxa"/>
            </w:tcMar>
          </w:tcPr>
          <w:p>
            <w:pPr>
              <w:spacing w:after="0" w:before="0"/>
            </w:pPr>
            <w:r>
              <w:rPr>
                <w:b w:val="0"/>
                <w:color w:val="33414F"/>
                <w:sz w:val="18"/>
              </w:rPr>
              <w:t xml:space="preserve">Target estate run-rate after the moves (TOPEND forecast)</w:t>
            </w:r>
          </w:p>
        </w:tc>
        <w:tc>
          <w:tcPr>
            <w:tcW w:w="3200" w:type="dxa"/>
            <w:tcMar>
              <w:top w:w="45" w:type="dxa"/>
              <w:left w:w="85" w:type="dxa"/>
              <w:bottom w:w="45" w:type="dxa"/>
              <w:right w:w="85" w:type="dxa"/>
            </w:tcMar>
          </w:tcPr>
          <w:p>
            <w:pPr>
              <w:spacing w:after="0" w:before="0"/>
            </w:pPr>
            <w:r>
              <w:rPr>
                <w:b w:val="0"/>
                <w:color w:val="33414F"/>
                <w:sz w:val="18"/>
              </w:rPr>
              <w:t xml:space="preserve">± R285 000–320 000 / yr, rand-denominated</w:t>
            </w:r>
          </w:p>
        </w:tc>
      </w:tr>
    </w:tbl>
    <w:p>
      <w:pPr>
        <w:spacing w:after="80"/>
      </w:pPr>
    </w:p>
    <w:p>
      <w:pPr>
        <w:spacing w:before="80" w:after="120"/>
        <w:jc w:val="center"/>
      </w:pPr>
      <w:r>
        <w:drawing>
          <wp:inline xmlns:wp="http://schemas.openxmlformats.org/drawingml/2006/wordprocessingDrawing" distT="0" distB="0" distL="0" distR="0">
            <wp:extent cx="5852160" cy="4092784"/>
            <wp:effectExtent l="0" t="0" r="0" b="0"/>
            <wp:docPr id="201" name="Relat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Relations map"/>
                    <pic:cNvPicPr/>
                  </pic:nvPicPr>
                  <pic:blipFill>
                    <a:blip r:embed="rIdD1"/>
                    <a:stretch>
                      <a:fillRect/>
                    </a:stretch>
                  </pic:blipFill>
                  <pic:spPr>
                    <a:xfrm>
                      <a:off x="0" y="0"/>
                      <a:ext cx="5852160" cy="4092784"/>
                    </a:xfrm>
                    <a:prstGeom prst="rect">
                      <a:avLst/>
                    </a:prstGeom>
                  </pic:spPr>
                </pic:pic>
              </a:graphicData>
            </a:graphic>
          </wp:inline>
        </w:drawing>
      </w:r>
    </w:p>
    <w:p>
      <w:r>
        <w:br w:type="page"/>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9. Target Architecture</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layered view below shows the Azure-retained backbone common to Pathways B and E — Entra identity, M365, the Fabric lakehouse replacing the DataWareHouse, and the decision layer delivering NACOSA-first dashboards with the grounded agent ("Thabo"). Under Pathway A/E the sovereign cluster carries the clinical workloads with offline-first sync, and DOME-Network wraps the whole estate as the routing backbone (Section 6). Exits: AWS, Mimecast, ShoutLink, parallel finance stack.</w:t>
      </w:r>
    </w:p>
    <w:p>
      <w:pPr>
        <w:spacing w:before="80" w:after="120"/>
        <w:jc w:val="center"/>
      </w:pPr>
      <w:r>
        <w:drawing>
          <wp:inline xmlns:wp="http://schemas.openxmlformats.org/drawingml/2006/wordprocessingDrawing" distT="0" distB="0" distL="0" distR="0">
            <wp:extent cx="5852160" cy="3851756"/>
            <wp:effectExtent l="0" t="0" r="0" b="0"/>
            <wp:docPr id="202" name="Target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Target architecture"/>
                    <pic:cNvPicPr/>
                  </pic:nvPicPr>
                  <pic:blipFill>
                    <a:blip r:embed="rIdD2"/>
                    <a:stretch>
                      <a:fillRect/>
                    </a:stretch>
                  </pic:blipFill>
                  <pic:spPr>
                    <a:xfrm>
                      <a:off x="0" y="0"/>
                      <a:ext cx="5852160" cy="3851756"/>
                    </a:xfrm>
                    <a:prstGeom prst="rect">
                      <a:avLst/>
                    </a:prstGeom>
                  </pic:spPr>
                </pic:pic>
              </a:graphicData>
            </a:graphic>
          </wp:inline>
        </w:drawing>
      </w:r>
    </w:p>
    <w:p>
      <w:pPr>
        <w:spacing w:after="80"/>
        <w:ind w:left="360"/>
      </w:pPr>
      <w:r>
        <w:rPr>
          <w:rtl w:val="0"/>
          <w:b/>
          <w:color w:val="0D2137"/>
        </w:rPr>
        <w:t xml:space="preserve">Design principles: </w:t>
      </w:r>
      <w:r>
        <w:rPr>
          <w:rtl w:val="0"/>
        </w:rPr>
        <w:t xml:space="preserve">build on the existing Microsoft estate; real-time by default; grounded-not-generative AI with cited answers; governed from day one (Purview lineage, PII masking before embedding); phased and reversible; sovereignty by design where special PI lives. Data sourcing is the known bottleneck — source-owner access provisioned in D1 (Vui sessions).</w:t>
      </w: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9.1 Hosting — the Ionity solution (where the apps live)</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The clinical core leaves the hyperscaler and lands on the Ionity Private Intranet: sovereign micro-computing nodes on SHOUT-IT-NOW’s own floor. Every node is a discrete micro-computer — a failure replaces a part, not a platform. The estate gets what it actually needs: sovereignty, a patch cadence, and a predictable rand-denominated bill. Own the compute, contract the care.</w:t>
      </w:r>
    </w:p>
    <w:p>
      <w:pPr>
        <w:spacing w:before="80" w:after="120"/>
        <w:jc w:val="center"/>
      </w:pPr>
      <w:r>
        <w:drawing>
          <wp:inline xmlns:wp="http://schemas.openxmlformats.org/drawingml/2006/wordprocessingDrawing" distT="0" distB="0" distL="0" distR="0">
            <wp:extent cx="5852160" cy="2055222"/>
            <wp:effectExtent l="0" t="0" r="0" b="0"/>
            <wp:docPr id="209" name="Ionity managed ho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onity managed hosting"/>
                    <pic:cNvPicPr/>
                  </pic:nvPicPr>
                  <pic:blipFill>
                    <a:blip r:embed="rIdD9"/>
                    <a:stretch>
                      <a:fillRect/>
                    </a:stretch>
                  </pic:blipFill>
                  <pic:spPr>
                    <a:xfrm>
                      <a:off x="0" y="0"/>
                      <a:ext cx="5852160" cy="2055222"/>
                    </a:xfrm>
                    <a:prstGeom prst="rect">
                      <a:avLst/>
                    </a:prstGeom>
                  </pic:spPr>
                </pic:pic>
              </a:graphicData>
            </a:graphic>
          </wp:inline>
        </w:drawing>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800"/>
        <w:gridCol w:w="1700"/>
        <w:gridCol w:w="5300"/>
      </w:tblGrid>
      <w:tr>
        <w:tc>
          <w:tcPr>
            <w:tcW w:w="1800" w:type="dxa"/>
            <w:shd w:val="clear" w:color="auto" w:fill="0D2137"/>
            <w:tcMar>
              <w:top w:w="45" w:type="dxa"/>
              <w:left w:w="85" w:type="dxa"/>
              <w:bottom w:w="45" w:type="dxa"/>
              <w:right w:w="85" w:type="dxa"/>
            </w:tcMar>
          </w:tcPr>
          <w:p>
            <w:pPr>
              <w:spacing w:after="0" w:before="0"/>
            </w:pPr>
            <w:r>
              <w:rPr>
                <w:b/>
                <w:color w:val="FFFFFF"/>
                <w:sz w:val="18"/>
              </w:rPr>
              <w:t xml:space="preserve">Tier</w:t>
            </w:r>
          </w:p>
        </w:tc>
        <w:tc>
          <w:tcPr>
            <w:tcW w:w="1700" w:type="dxa"/>
            <w:shd w:val="clear" w:color="auto" w:fill="0D2137"/>
            <w:tcMar>
              <w:top w:w="45" w:type="dxa"/>
              <w:left w:w="85" w:type="dxa"/>
              <w:bottom w:w="45" w:type="dxa"/>
              <w:right w:w="85" w:type="dxa"/>
            </w:tcMar>
          </w:tcPr>
          <w:p>
            <w:pPr>
              <w:spacing w:after="0" w:before="0"/>
            </w:pPr>
            <w:r>
              <w:rPr>
                <w:b/>
                <w:color w:val="FFFFFF"/>
                <w:sz w:val="18"/>
              </w:rPr>
              <w:t xml:space="preserve">Nodes</w:t>
            </w:r>
          </w:p>
        </w:tc>
        <w:tc>
          <w:tcPr>
            <w:tcW w:w="5300" w:type="dxa"/>
            <w:shd w:val="clear" w:color="auto" w:fill="0D2137"/>
            <w:tcMar>
              <w:top w:w="45" w:type="dxa"/>
              <w:left w:w="85" w:type="dxa"/>
              <w:bottom w:w="45" w:type="dxa"/>
              <w:right w:w="85" w:type="dxa"/>
            </w:tcMar>
          </w:tcPr>
          <w:p>
            <w:pPr>
              <w:spacing w:after="0" w:before="0"/>
            </w:pPr>
            <w:r>
              <w:rPr>
                <w:b/>
                <w:color w:val="FFFFFF"/>
                <w:sz w:val="18"/>
              </w:rPr>
              <w:t xml:space="preserve">Service level</w:t>
            </w:r>
          </w:p>
        </w:tc>
      </w:tr>
      <w:tr>
        <w:tc>
          <w:tcPr>
            <w:tcW w:w="1800" w:type="dxa"/>
            <w:tcMar>
              <w:top w:w="45" w:type="dxa"/>
              <w:left w:w="85" w:type="dxa"/>
              <w:bottom w:w="45" w:type="dxa"/>
              <w:right w:w="85" w:type="dxa"/>
            </w:tcMar>
          </w:tcPr>
          <w:p>
            <w:pPr>
              <w:spacing w:after="0" w:before="0"/>
            </w:pPr>
            <w:r>
              <w:rPr>
                <w:b w:val="0"/>
                <w:color w:val="33414F"/>
                <w:sz w:val="18"/>
              </w:rPr>
              <w:t xml:space="preserve">CORE</w:t>
            </w:r>
          </w:p>
        </w:tc>
        <w:tc>
          <w:tcPr>
            <w:tcW w:w="1700" w:type="dxa"/>
            <w:tcMar>
              <w:top w:w="45" w:type="dxa"/>
              <w:left w:w="85" w:type="dxa"/>
              <w:bottom w:w="45" w:type="dxa"/>
              <w:right w:w="85" w:type="dxa"/>
            </w:tcMar>
          </w:tcPr>
          <w:p>
            <w:pPr>
              <w:spacing w:after="0" w:before="0"/>
            </w:pPr>
            <w:r>
              <w:rPr>
                <w:b w:val="0"/>
                <w:color w:val="33414F"/>
                <w:sz w:val="18"/>
              </w:rPr>
              <w:t xml:space="preserve">4</w:t>
            </w:r>
          </w:p>
        </w:tc>
        <w:tc>
          <w:tcPr>
            <w:tcW w:w="5300" w:type="dxa"/>
            <w:tcMar>
              <w:top w:w="45" w:type="dxa"/>
              <w:left w:w="85" w:type="dxa"/>
              <w:bottom w:w="45" w:type="dxa"/>
              <w:right w:w="85" w:type="dxa"/>
            </w:tcMar>
          </w:tcPr>
          <w:p>
            <w:pPr>
              <w:spacing w:after="0" w:before="0"/>
            </w:pPr>
            <w:r>
              <w:rPr>
                <w:b w:val="0"/>
                <w:color w:val="33414F"/>
                <w:sz w:val="18"/>
              </w:rPr>
              <w:t xml:space="preserve">Gateway + app + DB + backup · business-hours monitoring · monthly patch cadence · nightly immutable backups</w:t>
            </w:r>
          </w:p>
        </w:tc>
      </w:tr>
      <w:tr>
        <w:tc>
          <w:tcPr>
            <w:tcW w:w="1800" w:type="dxa"/>
            <w:tcMar>
              <w:top w:w="45" w:type="dxa"/>
              <w:left w:w="85" w:type="dxa"/>
              <w:bottom w:w="45" w:type="dxa"/>
              <w:right w:w="85" w:type="dxa"/>
            </w:tcMar>
          </w:tcPr>
          <w:p>
            <w:pPr>
              <w:spacing w:after="0" w:before="0"/>
            </w:pPr>
            <w:r>
              <w:rPr>
                <w:b w:val="0"/>
                <w:color w:val="33414F"/>
                <w:sz w:val="18"/>
              </w:rPr>
              <w:t xml:space="preserve">CLINICAL ★</w:t>
            </w:r>
          </w:p>
        </w:tc>
        <w:tc>
          <w:tcPr>
            <w:tcW w:w="1700" w:type="dxa"/>
            <w:tcMar>
              <w:top w:w="45" w:type="dxa"/>
              <w:left w:w="85" w:type="dxa"/>
              <w:bottom w:w="45" w:type="dxa"/>
              <w:right w:w="85" w:type="dxa"/>
            </w:tcMar>
          </w:tcPr>
          <w:p>
            <w:pPr>
              <w:spacing w:after="0" w:before="0"/>
            </w:pPr>
            <w:r>
              <w:rPr>
                <w:b w:val="0"/>
                <w:color w:val="33414F"/>
                <w:sz w:val="18"/>
              </w:rPr>
              <w:t xml:space="preserve">8</w:t>
            </w:r>
          </w:p>
        </w:tc>
        <w:tc>
          <w:tcPr>
            <w:tcW w:w="5300" w:type="dxa"/>
            <w:tcMar>
              <w:top w:w="45" w:type="dxa"/>
              <w:left w:w="85" w:type="dxa"/>
              <w:bottom w:w="45" w:type="dxa"/>
              <w:right w:w="85" w:type="dxa"/>
            </w:tcMar>
          </w:tcPr>
          <w:p>
            <w:pPr>
              <w:spacing w:after="0" w:before="0"/>
            </w:pPr>
            <w:r>
              <w:rPr>
                <w:b w:val="0"/>
                <w:color w:val="33414F"/>
                <w:sz w:val="18"/>
              </w:rPr>
              <w:t xml:space="preserve">Full topology: GATE-1 edge gateway (firewall, WireGuard, VLANs, LTE failover) · app node · HA DB pair (answers the Single-AZ finding) · dedicated monitored SYNC node · biometric verify capacity restored · refresh reserve inside the managed fee</w:t>
            </w:r>
          </w:p>
        </w:tc>
      </w:tr>
      <w:tr>
        <w:tc>
          <w:tcPr>
            <w:tcW w:w="1800" w:type="dxa"/>
            <w:tcMar>
              <w:top w:w="45" w:type="dxa"/>
              <w:left w:w="85" w:type="dxa"/>
              <w:bottom w:w="45" w:type="dxa"/>
              <w:right w:w="85" w:type="dxa"/>
            </w:tcMar>
          </w:tcPr>
          <w:p>
            <w:pPr>
              <w:spacing w:after="0" w:before="0"/>
            </w:pPr>
            <w:r>
              <w:rPr>
                <w:b w:val="0"/>
                <w:color w:val="33414F"/>
                <w:sz w:val="18"/>
              </w:rPr>
              <w:t xml:space="preserve">SOVEREIGN</w:t>
            </w:r>
          </w:p>
        </w:tc>
        <w:tc>
          <w:tcPr>
            <w:tcW w:w="1700" w:type="dxa"/>
            <w:tcMar>
              <w:top w:w="45" w:type="dxa"/>
              <w:left w:w="85" w:type="dxa"/>
              <w:bottom w:w="45" w:type="dxa"/>
              <w:right w:w="85" w:type="dxa"/>
            </w:tcMar>
          </w:tcPr>
          <w:p>
            <w:pPr>
              <w:spacing w:after="0" w:before="0"/>
            </w:pPr>
            <w:r>
              <w:rPr>
                <w:b w:val="0"/>
                <w:color w:val="33414F"/>
                <w:sz w:val="18"/>
              </w:rPr>
              <w:t xml:space="preserve">12 · dual-site</w:t>
            </w:r>
          </w:p>
        </w:tc>
        <w:tc>
          <w:tcPr>
            <w:tcW w:w="5300" w:type="dxa"/>
            <w:tcMar>
              <w:top w:w="45" w:type="dxa"/>
              <w:left w:w="85" w:type="dxa"/>
              <w:bottom w:w="45" w:type="dxa"/>
              <w:right w:w="85" w:type="dxa"/>
            </w:tcMar>
          </w:tcPr>
          <w:p>
            <w:pPr>
              <w:spacing w:after="0" w:before="0"/>
            </w:pPr>
            <w:r>
              <w:rPr>
                <w:b w:val="0"/>
                <w:color w:val="33414F"/>
                <w:sz w:val="18"/>
              </w:rPr>
              <w:t xml:space="preserve">Everything in CLINICAL mirrored across two premises · encrypted DR replica into retained Azure · RPO ≤ 15 min, RTO ≤ 4 h evidenced for funders · fits the post-Phase-2 / DOME era</w:t>
            </w:r>
          </w:p>
        </w:tc>
      </w:tr>
    </w:tbl>
    <w:p>
      <w:pPr>
        <w:spacing w:after="80"/>
      </w:pPr>
    </w:p>
    <w:p>
      <w:pPr>
        <w:spacing w:after="80"/>
        <w:ind w:left="360"/>
      </w:pPr>
      <w:r>
        <w:rPr>
          <w:rtl w:val="0"/>
          <w:b/>
          <w:color w:val="0D2137"/>
        </w:rPr>
        <w:t xml:space="preserve">Terms that matter: </w:t>
      </w:r>
      <w:r>
        <w:rPr>
          <w:rtl w:val="0"/>
        </w:rPr>
        <w:t xml:space="preserve">rand-denominated, 12-month terms, no usage metering, no egress fees, no commitment cliffs; up to 68% maintenance saving vs legacy support models; node-by-node refresh from year 4 within the managed fee; AI-M intelligent motherboards (5V/20W True-Edge-AI, 2026 line) adopt as they ship — local inference for duplicate-client matching (F-09), sync anomaly detection, even an offline LLM assistant, all without data leaving the floor. Tier commercials: TOPEND Act III / the separate commercial pack.</w:t>
      </w: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9.2 What lands where</w:t>
      </w:r>
    </w:p>
    <w:p>
      <w:pPr>
        <w:spacing w:after="80"/>
        <w:ind w:left="360"/>
      </w:pPr>
      <w:r>
        <w:rPr>
          <w:rtl w:val="0"/>
          <w:b/>
          <w:color w:val="0D2137"/>
        </w:rPr>
        <w:t xml:space="preserve">Ionity Intranet (CLINICAL): </w:t>
      </w:r>
      <w:r>
        <w:rPr>
          <w:rtl w:val="0"/>
        </w:rPr>
        <w:t xml:space="preserve">SMART 2.0 + HA DB pair · SNowI 2 co-located · Chomi/AIMEE (v2, Option C) · dedicated SYNC node for mobile clinics · WordPress SA-resident · iShout under central support.</w:t>
      </w:r>
    </w:p>
    <w:p>
      <w:pPr>
        <w:spacing w:after="80"/>
        <w:ind w:left="360"/>
      </w:pPr>
      <w:r>
        <w:rPr>
          <w:rtl w:val="0"/>
          <w:b/>
          <w:color w:val="0D2137"/>
        </w:rPr>
        <w:t xml:space="preserve">Retained Azure: </w:t>
      </w:r>
      <w:r>
        <w:rPr>
          <w:rtl w:val="0"/>
        </w:rPr>
        <w:t xml:space="preserve">Entra ID identity spine · M365 productivity (~250 users) · Power BI + Fabric lakehouse · SharePoint intranet · MojaMind (per its own recorded plan, Stellenbosch governance preserved) · M&amp;E datasets · asset register into the finance system · SOVEREIGN-tier DR replica.</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10. Implementation Timeline &amp; Workstreams</w:t>
      </w:r>
    </w:p>
    <w:p>
      <w:pPr>
        <w:spacing w:before="80" w:after="120"/>
        <w:jc w:val="center"/>
      </w:pPr>
      <w:r>
        <w:drawing>
          <wp:inline xmlns:wp="http://schemas.openxmlformats.org/drawingml/2006/wordprocessingDrawing" distT="0" distB="0" distL="0" distR="0">
            <wp:extent cx="5852160" cy="3014240"/>
            <wp:effectExtent l="0" t="0" r="0" b="0"/>
            <wp:docPr id="203" name="Tim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Timeline"/>
                    <pic:cNvPicPr/>
                  </pic:nvPicPr>
                  <pic:blipFill>
                    <a:blip r:embed="rIdD3"/>
                    <a:stretch>
                      <a:fillRect/>
                    </a:stretch>
                  </pic:blipFill>
                  <pic:spPr>
                    <a:xfrm>
                      <a:off x="0" y="0"/>
                      <a:ext cx="5852160" cy="3014240"/>
                    </a:xfrm>
                    <a:prstGeom prst="rect">
                      <a:avLst/>
                    </a:prstGeom>
                  </pic:spPr>
                </pic:pic>
              </a:graphicData>
            </a:graphic>
          </wp:inline>
        </w:drawing>
      </w:r>
    </w:p>
    <w:p>
      <w:pPr>
        <w:spacing w:before="80" w:after="120"/>
        <w:jc w:val="center"/>
      </w:pPr>
      <w:r>
        <w:drawing>
          <wp:inline xmlns:wp="http://schemas.openxmlformats.org/drawingml/2006/wordprocessingDrawing" distT="0" distB="0" distL="0" distR="0">
            <wp:extent cx="5852160" cy="3602283"/>
            <wp:effectExtent l="0" t="0" r="0" b="0"/>
            <wp:docPr id="204" name="Exit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Exit flow"/>
                    <pic:cNvPicPr/>
                  </pic:nvPicPr>
                  <pic:blipFill>
                    <a:blip r:embed="rIdD4"/>
                    <a:stretch>
                      <a:fillRect/>
                    </a:stretch>
                  </pic:blipFill>
                  <pic:spPr>
                    <a:xfrm>
                      <a:off x="0" y="0"/>
                      <a:ext cx="5852160" cy="3602283"/>
                    </a:xfrm>
                    <a:prstGeom prst="rect">
                      <a:avLst/>
                    </a:prstGeom>
                  </pic:spPr>
                </pic:pic>
              </a:graphicData>
            </a:graphic>
          </wp:inline>
        </w:drawing>
      </w:r>
    </w:p>
    <w:tbl>
      <w:tblPr>
        <w:tblW w:w="89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000"/>
        <w:gridCol w:w="3900"/>
        <w:gridCol w:w="2200"/>
        <w:gridCol w:w="1800"/>
      </w:tblGrid>
      <w:tr>
        <w:tc>
          <w:tcPr>
            <w:tcW w:w="1000" w:type="dxa"/>
            <w:shd w:val="clear" w:color="auto" w:fill="0D2137"/>
            <w:tcMar>
              <w:top w:w="45" w:type="dxa"/>
              <w:left w:w="85" w:type="dxa"/>
              <w:bottom w:w="45" w:type="dxa"/>
              <w:right w:w="85" w:type="dxa"/>
            </w:tcMar>
          </w:tcPr>
          <w:p>
            <w:pPr>
              <w:spacing w:after="0" w:before="0"/>
            </w:pPr>
            <w:r>
              <w:rPr>
                <w:b/>
                <w:color w:val="FFFFFF"/>
                <w:sz w:val="18"/>
              </w:rPr>
              <w:t xml:space="preserve">WS</w:t>
            </w:r>
          </w:p>
        </w:tc>
        <w:tc>
          <w:tcPr>
            <w:tcW w:w="3900" w:type="dxa"/>
            <w:shd w:val="clear" w:color="auto" w:fill="0D2137"/>
            <w:tcMar>
              <w:top w:w="45" w:type="dxa"/>
              <w:left w:w="85" w:type="dxa"/>
              <w:bottom w:w="45" w:type="dxa"/>
              <w:right w:w="85" w:type="dxa"/>
            </w:tcMar>
          </w:tcPr>
          <w:p>
            <w:pPr>
              <w:spacing w:after="0" w:before="0"/>
            </w:pPr>
            <w:r>
              <w:rPr>
                <w:b/>
                <w:color w:val="FFFFFF"/>
                <w:sz w:val="18"/>
              </w:rPr>
              <w:t xml:space="preserve">Scope</w:t>
            </w:r>
          </w:p>
        </w:tc>
        <w:tc>
          <w:tcPr>
            <w:tcW w:w="2200" w:type="dxa"/>
            <w:shd w:val="clear" w:color="auto" w:fill="0D2137"/>
            <w:tcMar>
              <w:top w:w="45" w:type="dxa"/>
              <w:left w:w="85" w:type="dxa"/>
              <w:bottom w:w="45" w:type="dxa"/>
              <w:right w:w="85" w:type="dxa"/>
            </w:tcMar>
          </w:tcPr>
          <w:p>
            <w:pPr>
              <w:spacing w:after="0" w:before="0"/>
            </w:pPr>
            <w:r>
              <w:rPr>
                <w:b/>
                <w:color w:val="FFFFFF"/>
                <w:sz w:val="18"/>
              </w:rPr>
              <w:t xml:space="preserve">Window</w:t>
            </w:r>
          </w:p>
        </w:tc>
        <w:tc>
          <w:tcPr>
            <w:tcW w:w="1800" w:type="dxa"/>
            <w:shd w:val="clear" w:color="auto" w:fill="0D2137"/>
            <w:tcMar>
              <w:top w:w="45" w:type="dxa"/>
              <w:left w:w="85" w:type="dxa"/>
              <w:bottom w:w="45" w:type="dxa"/>
              <w:right w:w="85" w:type="dxa"/>
            </w:tcMar>
          </w:tcPr>
          <w:p>
            <w:pPr>
              <w:spacing w:after="0" w:before="0"/>
            </w:pPr>
            <w:r>
              <w:rPr>
                <w:b/>
                <w:color w:val="FFFFFF"/>
                <w:sz w:val="18"/>
              </w:rPr>
              <w:t xml:space="preserve">Exit criterion</w:t>
            </w:r>
          </w:p>
        </w:tc>
      </w:tr>
      <w:tr>
        <w:tc>
          <w:tcPr>
            <w:tcW w:w="1000" w:type="dxa"/>
            <w:tcMar>
              <w:top w:w="45" w:type="dxa"/>
              <w:left w:w="85" w:type="dxa"/>
              <w:bottom w:w="45" w:type="dxa"/>
              <w:right w:w="85" w:type="dxa"/>
            </w:tcMar>
          </w:tcPr>
          <w:p>
            <w:pPr>
              <w:spacing w:after="0" w:before="0"/>
            </w:pPr>
            <w:r>
              <w:rPr>
                <w:b w:val="0"/>
                <w:color w:val="33414F"/>
                <w:sz w:val="18"/>
              </w:rPr>
              <w:t xml:space="preserve">A</w:t>
            </w:r>
          </w:p>
        </w:tc>
        <w:tc>
          <w:tcPr>
            <w:tcW w:w="3900" w:type="dxa"/>
            <w:tcMar>
              <w:top w:w="45" w:type="dxa"/>
              <w:left w:w="85" w:type="dxa"/>
              <w:bottom w:w="45" w:type="dxa"/>
              <w:right w:w="85" w:type="dxa"/>
            </w:tcMar>
          </w:tcPr>
          <w:p>
            <w:pPr>
              <w:spacing w:after="0" w:before="0"/>
            </w:pPr>
            <w:r>
              <w:rPr>
                <w:b w:val="0"/>
                <w:color w:val="33414F"/>
                <w:sz w:val="18"/>
              </w:rPr>
              <w:t xml:space="preserve">Engineered AWS exit per chosen pathway (A/B/E): RDS quick win, build, semi-live, decommission + Entra</w:t>
            </w:r>
          </w:p>
        </w:tc>
        <w:tc>
          <w:tcPr>
            <w:tcW w:w="2200" w:type="dxa"/>
            <w:tcMar>
              <w:top w:w="45" w:type="dxa"/>
              <w:left w:w="85" w:type="dxa"/>
              <w:bottom w:w="45" w:type="dxa"/>
              <w:right w:w="85" w:type="dxa"/>
            </w:tcMar>
          </w:tcPr>
          <w:p>
            <w:pPr>
              <w:spacing w:after="0" w:before="0"/>
            </w:pPr>
            <w:r>
              <w:rPr>
                <w:b w:val="0"/>
                <w:color w:val="33414F"/>
                <w:sz w:val="18"/>
              </w:rPr>
              <w:t xml:space="preserve">27 Jul – 16 Oct</w:t>
            </w:r>
          </w:p>
        </w:tc>
        <w:tc>
          <w:tcPr>
            <w:tcW w:w="1800" w:type="dxa"/>
            <w:tcMar>
              <w:top w:w="45" w:type="dxa"/>
              <w:left w:w="85" w:type="dxa"/>
              <w:bottom w:w="45" w:type="dxa"/>
              <w:right w:w="85" w:type="dxa"/>
            </w:tcMar>
          </w:tcPr>
          <w:p>
            <w:pPr>
              <w:spacing w:after="0" w:before="0"/>
            </w:pPr>
            <w:r>
              <w:rPr>
                <w:b w:val="0"/>
                <w:color w:val="33414F"/>
                <w:sz w:val="18"/>
              </w:rPr>
              <w:t xml:space="preserve">AWS bill R0; one login</w:t>
            </w:r>
          </w:p>
        </w:tc>
      </w:tr>
      <w:tr>
        <w:tc>
          <w:tcPr>
            <w:tcW w:w="1000" w:type="dxa"/>
            <w:tcMar>
              <w:top w:w="45" w:type="dxa"/>
              <w:left w:w="85" w:type="dxa"/>
              <w:bottom w:w="45" w:type="dxa"/>
              <w:right w:w="85" w:type="dxa"/>
            </w:tcMar>
          </w:tcPr>
          <w:p>
            <w:pPr>
              <w:spacing w:after="0" w:before="0"/>
            </w:pPr>
            <w:r>
              <w:rPr>
                <w:b w:val="0"/>
                <w:color w:val="33414F"/>
                <w:sz w:val="18"/>
              </w:rPr>
              <w:t xml:space="preserve">B</w:t>
            </w:r>
          </w:p>
        </w:tc>
        <w:tc>
          <w:tcPr>
            <w:tcW w:w="3900" w:type="dxa"/>
            <w:tcMar>
              <w:top w:w="45" w:type="dxa"/>
              <w:left w:w="85" w:type="dxa"/>
              <w:bottom w:w="45" w:type="dxa"/>
              <w:right w:w="85" w:type="dxa"/>
            </w:tcMar>
          </w:tcPr>
          <w:p>
            <w:pPr>
              <w:spacing w:after="0" w:before="0"/>
            </w:pPr>
            <w:r>
              <w:rPr>
                <w:b w:val="0"/>
                <w:color w:val="33414F"/>
                <w:sz w:val="18"/>
              </w:rPr>
              <w:t xml:space="preserve">Remediation of F-register: F-06 .NET, F-01 residency, F-03 JML, F-02 Mimecast, F-09 dedupe</w:t>
            </w:r>
          </w:p>
        </w:tc>
        <w:tc>
          <w:tcPr>
            <w:tcW w:w="2200" w:type="dxa"/>
            <w:tcMar>
              <w:top w:w="45" w:type="dxa"/>
              <w:left w:w="85" w:type="dxa"/>
              <w:bottom w:w="45" w:type="dxa"/>
              <w:right w:w="85" w:type="dxa"/>
            </w:tcMar>
          </w:tcPr>
          <w:p>
            <w:pPr>
              <w:spacing w:after="0" w:before="0"/>
            </w:pPr>
            <w:r>
              <w:rPr>
                <w:b w:val="0"/>
                <w:color w:val="33414F"/>
                <w:sz w:val="18"/>
              </w:rPr>
              <w:t xml:space="preserve">23 Jul – 30 Oct</w:t>
            </w:r>
          </w:p>
        </w:tc>
        <w:tc>
          <w:tcPr>
            <w:tcW w:w="1800" w:type="dxa"/>
            <w:tcMar>
              <w:top w:w="45" w:type="dxa"/>
              <w:left w:w="85" w:type="dxa"/>
              <w:bottom w:w="45" w:type="dxa"/>
              <w:right w:w="85" w:type="dxa"/>
            </w:tcMar>
          </w:tcPr>
          <w:p>
            <w:pPr>
              <w:spacing w:after="0" w:before="0"/>
            </w:pPr>
            <w:r>
              <w:rPr>
                <w:b w:val="0"/>
                <w:color w:val="33414F"/>
                <w:sz w:val="18"/>
              </w:rPr>
              <w:t xml:space="preserve">P1s closed &amp; logged</w:t>
            </w:r>
          </w:p>
        </w:tc>
      </w:tr>
      <w:tr>
        <w:tc>
          <w:tcPr>
            <w:tcW w:w="1000" w:type="dxa"/>
            <w:tcMar>
              <w:top w:w="45" w:type="dxa"/>
              <w:left w:w="85" w:type="dxa"/>
              <w:bottom w:w="45" w:type="dxa"/>
              <w:right w:w="85" w:type="dxa"/>
            </w:tcMar>
          </w:tcPr>
          <w:p>
            <w:pPr>
              <w:spacing w:after="0" w:before="0"/>
            </w:pPr>
            <w:r>
              <w:rPr>
                <w:b w:val="0"/>
                <w:color w:val="33414F"/>
                <w:sz w:val="18"/>
              </w:rPr>
              <w:t xml:space="preserve">C</w:t>
            </w:r>
          </w:p>
        </w:tc>
        <w:tc>
          <w:tcPr>
            <w:tcW w:w="3900" w:type="dxa"/>
            <w:tcMar>
              <w:top w:w="45" w:type="dxa"/>
              <w:left w:w="85" w:type="dxa"/>
              <w:bottom w:w="45" w:type="dxa"/>
              <w:right w:w="85" w:type="dxa"/>
            </w:tcMar>
          </w:tcPr>
          <w:p>
            <w:pPr>
              <w:spacing w:after="0" w:before="0"/>
            </w:pPr>
            <w:r>
              <w:rPr>
                <w:b w:val="0"/>
                <w:color w:val="33414F"/>
                <w:sz w:val="18"/>
              </w:rPr>
              <w:t xml:space="preserve">ERP route: options &amp; commercials, then ±3-month implementation</w:t>
            </w:r>
          </w:p>
        </w:tc>
        <w:tc>
          <w:tcPr>
            <w:tcW w:w="2200" w:type="dxa"/>
            <w:tcMar>
              <w:top w:w="45" w:type="dxa"/>
              <w:left w:w="85" w:type="dxa"/>
              <w:bottom w:w="45" w:type="dxa"/>
              <w:right w:w="85" w:type="dxa"/>
            </w:tcMar>
          </w:tcPr>
          <w:p>
            <w:pPr>
              <w:spacing w:after="0" w:before="0"/>
            </w:pPr>
            <w:r>
              <w:rPr>
                <w:b w:val="0"/>
                <w:color w:val="33414F"/>
                <w:sz w:val="18"/>
              </w:rPr>
              <w:t xml:space="preserve">3 Aug – 27 Nov</w:t>
            </w:r>
          </w:p>
        </w:tc>
        <w:tc>
          <w:tcPr>
            <w:tcW w:w="1800" w:type="dxa"/>
            <w:tcMar>
              <w:top w:w="45" w:type="dxa"/>
              <w:left w:w="85" w:type="dxa"/>
              <w:bottom w:w="45" w:type="dxa"/>
              <w:right w:w="85" w:type="dxa"/>
            </w:tcMar>
          </w:tcPr>
          <w:p>
            <w:pPr>
              <w:spacing w:after="0" w:before="0"/>
            </w:pPr>
            <w:r>
              <w:rPr>
                <w:b w:val="0"/>
                <w:color w:val="33414F"/>
                <w:sz w:val="18"/>
              </w:rPr>
              <w:t xml:space="preserve">Single ERP live; F-05 closed</w:t>
            </w:r>
          </w:p>
        </w:tc>
      </w:tr>
      <w:tr>
        <w:tc>
          <w:tcPr>
            <w:tcW w:w="1000" w:type="dxa"/>
            <w:tcMar>
              <w:top w:w="45" w:type="dxa"/>
              <w:left w:w="85" w:type="dxa"/>
              <w:bottom w:w="45" w:type="dxa"/>
              <w:right w:w="85" w:type="dxa"/>
            </w:tcMar>
          </w:tcPr>
          <w:p>
            <w:pPr>
              <w:spacing w:after="0" w:before="0"/>
            </w:pPr>
            <w:r>
              <w:rPr>
                <w:b w:val="0"/>
                <w:color w:val="33414F"/>
                <w:sz w:val="18"/>
              </w:rPr>
              <w:t xml:space="preserve">D</w:t>
            </w:r>
          </w:p>
        </w:tc>
        <w:tc>
          <w:tcPr>
            <w:tcW w:w="3900" w:type="dxa"/>
            <w:tcMar>
              <w:top w:w="45" w:type="dxa"/>
              <w:left w:w="85" w:type="dxa"/>
              <w:bottom w:w="45" w:type="dxa"/>
              <w:right w:w="85" w:type="dxa"/>
            </w:tcMar>
          </w:tcPr>
          <w:p>
            <w:pPr>
              <w:spacing w:after="0" w:before="0"/>
            </w:pPr>
            <w:r>
              <w:rPr>
                <w:b w:val="0"/>
                <w:color w:val="33414F"/>
                <w:sz w:val="18"/>
              </w:rPr>
              <w:t xml:space="preserve">AI Data Platform: lakehouse → RAG → agent &amp; alerts → UAT (12–14 weeks)</w:t>
            </w:r>
          </w:p>
        </w:tc>
        <w:tc>
          <w:tcPr>
            <w:tcW w:w="2200" w:type="dxa"/>
            <w:tcMar>
              <w:top w:w="45" w:type="dxa"/>
              <w:left w:w="85" w:type="dxa"/>
              <w:bottom w:w="45" w:type="dxa"/>
              <w:right w:w="85" w:type="dxa"/>
            </w:tcMar>
          </w:tcPr>
          <w:p>
            <w:pPr>
              <w:spacing w:after="0" w:before="0"/>
            </w:pPr>
            <w:r>
              <w:rPr>
                <w:b w:val="0"/>
                <w:color w:val="33414F"/>
                <w:sz w:val="18"/>
              </w:rPr>
              <w:t xml:space="preserve">7 Sep – 4 Dec</w:t>
            </w:r>
          </w:p>
        </w:tc>
        <w:tc>
          <w:tcPr>
            <w:tcW w:w="1800" w:type="dxa"/>
            <w:tcMar>
              <w:top w:w="45" w:type="dxa"/>
              <w:left w:w="85" w:type="dxa"/>
              <w:bottom w:w="45" w:type="dxa"/>
              <w:right w:w="85" w:type="dxa"/>
            </w:tcMar>
          </w:tcPr>
          <w:p>
            <w:pPr>
              <w:spacing w:after="0" w:before="0"/>
            </w:pPr>
            <w:r>
              <w:rPr>
                <w:b w:val="0"/>
                <w:color w:val="33414F"/>
                <w:sz w:val="18"/>
              </w:rPr>
              <w:t xml:space="preserve">UAT sign-off; NACOSA dashboard live</w:t>
            </w:r>
          </w:p>
        </w:tc>
      </w:tr>
      <w:tr>
        <w:tc>
          <w:tcPr>
            <w:tcW w:w="1000" w:type="dxa"/>
            <w:tcMar>
              <w:top w:w="45" w:type="dxa"/>
              <w:left w:w="85" w:type="dxa"/>
              <w:bottom w:w="45" w:type="dxa"/>
              <w:right w:w="85" w:type="dxa"/>
            </w:tcMar>
          </w:tcPr>
          <w:p>
            <w:pPr>
              <w:spacing w:after="0" w:before="0"/>
            </w:pPr>
            <w:r>
              <w:rPr>
                <w:b w:val="0"/>
                <w:color w:val="33414F"/>
                <w:sz w:val="18"/>
              </w:rPr>
              <w:t xml:space="preserve">E</w:t>
            </w:r>
          </w:p>
        </w:tc>
        <w:tc>
          <w:tcPr>
            <w:tcW w:w="3900" w:type="dxa"/>
            <w:tcMar>
              <w:top w:w="45" w:type="dxa"/>
              <w:left w:w="85" w:type="dxa"/>
              <w:bottom w:w="45" w:type="dxa"/>
              <w:right w:w="85" w:type="dxa"/>
            </w:tcMar>
          </w:tcPr>
          <w:p>
            <w:pPr>
              <w:spacing w:after="0" w:before="0"/>
            </w:pPr>
            <w:r>
              <w:rPr>
                <w:b w:val="0"/>
                <w:color w:val="33414F"/>
                <w:sz w:val="18"/>
              </w:rPr>
              <w:t xml:space="preserve">DOME-Network backbone: scoping → (on selection) build on cluster + Azure DR</w:t>
            </w:r>
          </w:p>
        </w:tc>
        <w:tc>
          <w:tcPr>
            <w:tcW w:w="2200" w:type="dxa"/>
            <w:tcMar>
              <w:top w:w="45" w:type="dxa"/>
              <w:left w:w="85" w:type="dxa"/>
              <w:bottom w:w="45" w:type="dxa"/>
              <w:right w:w="85" w:type="dxa"/>
            </w:tcMar>
          </w:tcPr>
          <w:p>
            <w:pPr>
              <w:spacing w:after="0" w:before="0"/>
            </w:pPr>
            <w:r>
              <w:rPr>
                <w:b w:val="0"/>
                <w:color w:val="33414F"/>
                <w:sz w:val="18"/>
              </w:rPr>
              <w:t xml:space="preserve">5 Oct – 27 Nov (scope)</w:t>
            </w:r>
          </w:p>
        </w:tc>
        <w:tc>
          <w:tcPr>
            <w:tcW w:w="1800" w:type="dxa"/>
            <w:tcMar>
              <w:top w:w="45" w:type="dxa"/>
              <w:left w:w="85" w:type="dxa"/>
              <w:bottom w:w="45" w:type="dxa"/>
              <w:right w:w="85" w:type="dxa"/>
            </w:tcMar>
          </w:tcPr>
          <w:p>
            <w:pPr>
              <w:spacing w:after="0" w:before="0"/>
            </w:pPr>
            <w:r>
              <w:rPr>
                <w:b w:val="0"/>
                <w:color w:val="33414F"/>
                <w:sz w:val="18"/>
              </w:rPr>
              <w:t xml:space="preserve">Scoped, sized; build gate passed</w:t>
            </w:r>
          </w:p>
        </w:tc>
      </w:tr>
      <w:tr>
        <w:tc>
          <w:tcPr>
            <w:tcW w:w="1000" w:type="dxa"/>
            <w:tcMar>
              <w:top w:w="45" w:type="dxa"/>
              <w:left w:w="85" w:type="dxa"/>
              <w:bottom w:w="45" w:type="dxa"/>
              <w:right w:w="85" w:type="dxa"/>
            </w:tcMar>
          </w:tcPr>
          <w:p>
            <w:pPr>
              <w:spacing w:after="0" w:before="0"/>
            </w:pPr>
            <w:r>
              <w:rPr>
                <w:b w:val="0"/>
                <w:color w:val="33414F"/>
                <w:sz w:val="18"/>
              </w:rPr>
              <w:t xml:space="preserve">F</w:t>
            </w:r>
          </w:p>
        </w:tc>
        <w:tc>
          <w:tcPr>
            <w:tcW w:w="3900" w:type="dxa"/>
            <w:tcMar>
              <w:top w:w="45" w:type="dxa"/>
              <w:left w:w="85" w:type="dxa"/>
              <w:bottom w:w="45" w:type="dxa"/>
              <w:right w:w="85" w:type="dxa"/>
            </w:tcMar>
          </w:tcPr>
          <w:p>
            <w:pPr>
              <w:spacing w:after="0" w:before="0"/>
            </w:pPr>
            <w:r>
              <w:rPr>
                <w:b w:val="0"/>
                <w:color w:val="33414F"/>
                <w:sz w:val="18"/>
              </w:rPr>
              <w:t xml:space="preserve">Governance: blueprint, Board/FARC pack, IA·MCP weekly audits</w:t>
            </w:r>
          </w:p>
        </w:tc>
        <w:tc>
          <w:tcPr>
            <w:tcW w:w="2200" w:type="dxa"/>
            <w:tcMar>
              <w:top w:w="45" w:type="dxa"/>
              <w:left w:w="85" w:type="dxa"/>
              <w:bottom w:w="45" w:type="dxa"/>
              <w:right w:w="85" w:type="dxa"/>
            </w:tcMar>
          </w:tcPr>
          <w:p>
            <w:pPr>
              <w:spacing w:after="0" w:before="0"/>
            </w:pPr>
            <w:r>
              <w:rPr>
                <w:b w:val="0"/>
                <w:color w:val="33414F"/>
                <w:sz w:val="18"/>
              </w:rPr>
              <w:t xml:space="preserve">3 Aug – ongoing</w:t>
            </w:r>
          </w:p>
        </w:tc>
        <w:tc>
          <w:tcPr>
            <w:tcW w:w="1800" w:type="dxa"/>
            <w:tcMar>
              <w:top w:w="45" w:type="dxa"/>
              <w:left w:w="85" w:type="dxa"/>
              <w:bottom w:w="45" w:type="dxa"/>
              <w:right w:w="85" w:type="dxa"/>
            </w:tcMar>
          </w:tcPr>
          <w:p>
            <w:pPr>
              <w:spacing w:after="0" w:before="0"/>
            </w:pPr>
            <w:r>
              <w:rPr>
                <w:b w:val="0"/>
                <w:color w:val="33414F"/>
                <w:sz w:val="18"/>
              </w:rPr>
              <w:t xml:space="preserve">Board approval; 4 green audits</w:t>
            </w:r>
          </w:p>
        </w:tc>
      </w:tr>
      <w:tr>
        <w:tc>
          <w:tcPr>
            <w:tcW w:w="1000" w:type="dxa"/>
            <w:tcMar>
              <w:top w:w="45" w:type="dxa"/>
              <w:left w:w="85" w:type="dxa"/>
              <w:bottom w:w="45" w:type="dxa"/>
              <w:right w:w="85" w:type="dxa"/>
            </w:tcMar>
          </w:tcPr>
          <w:p>
            <w:pPr>
              <w:spacing w:after="0" w:before="0"/>
            </w:pPr>
            <w:r>
              <w:rPr>
                <w:b w:val="0"/>
                <w:color w:val="33414F"/>
                <w:sz w:val="18"/>
              </w:rPr>
              <w:t xml:space="preserve">G</w:t>
            </w:r>
          </w:p>
        </w:tc>
        <w:tc>
          <w:tcPr>
            <w:tcW w:w="3900" w:type="dxa"/>
            <w:tcMar>
              <w:top w:w="45" w:type="dxa"/>
              <w:left w:w="85" w:type="dxa"/>
              <w:bottom w:w="45" w:type="dxa"/>
              <w:right w:w="85" w:type="dxa"/>
            </w:tcMar>
          </w:tcPr>
          <w:p>
            <w:pPr>
              <w:spacing w:after="0" w:before="0"/>
            </w:pPr>
            <w:r>
              <w:rPr>
                <w:b w:val="0"/>
                <w:color w:val="33414F"/>
                <w:sz w:val="18"/>
              </w:rPr>
              <w:t xml:space="preserve">Products &amp; funders: NACOSA dashboard; Chomi Option C; FLOW app (SNPR002P10626IO)</w:t>
            </w:r>
          </w:p>
        </w:tc>
        <w:tc>
          <w:tcPr>
            <w:tcW w:w="2200" w:type="dxa"/>
            <w:tcMar>
              <w:top w:w="45" w:type="dxa"/>
              <w:left w:w="85" w:type="dxa"/>
              <w:bottom w:w="45" w:type="dxa"/>
              <w:right w:w="85" w:type="dxa"/>
            </w:tcMar>
          </w:tcPr>
          <w:p>
            <w:pPr>
              <w:spacing w:after="0" w:before="0"/>
            </w:pPr>
            <w:r>
              <w:rPr>
                <w:b w:val="0"/>
                <w:color w:val="33414F"/>
                <w:sz w:val="18"/>
              </w:rPr>
              <w:t xml:space="preserve">10 Aug – 13 Nov</w:t>
            </w:r>
          </w:p>
        </w:tc>
        <w:tc>
          <w:tcPr>
            <w:tcW w:w="1800" w:type="dxa"/>
            <w:tcMar>
              <w:top w:w="45" w:type="dxa"/>
              <w:left w:w="85" w:type="dxa"/>
              <w:bottom w:w="45" w:type="dxa"/>
              <w:right w:w="85" w:type="dxa"/>
            </w:tcMar>
          </w:tcPr>
          <w:p>
            <w:pPr>
              <w:spacing w:after="0" w:before="0"/>
            </w:pPr>
            <w:r>
              <w:rPr>
                <w:b w:val="0"/>
                <w:color w:val="33414F"/>
                <w:sz w:val="18"/>
              </w:rPr>
              <w:t xml:space="preserve">Funder demo; scoped backlogs</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11. Workstream Detail &amp; RACI</w:t>
      </w:r>
    </w:p>
    <w:tbl>
      <w:tblPr>
        <w:tblW w:w="101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700"/>
        <w:gridCol w:w="1500"/>
        <w:gridCol w:w="1400"/>
        <w:gridCol w:w="1400"/>
        <w:gridCol w:w="1500"/>
        <w:gridCol w:w="1600"/>
      </w:tblGrid>
      <w:tr>
        <w:tc>
          <w:tcPr>
            <w:tcW w:w="2700" w:type="dxa"/>
            <w:shd w:val="clear" w:color="auto" w:fill="0D2137"/>
            <w:tcMar>
              <w:top w:w="45" w:type="dxa"/>
              <w:left w:w="85" w:type="dxa"/>
              <w:bottom w:w="45" w:type="dxa"/>
              <w:right w:w="85" w:type="dxa"/>
            </w:tcMar>
          </w:tcPr>
          <w:p>
            <w:pPr>
              <w:spacing w:after="0" w:before="0"/>
            </w:pPr>
            <w:r>
              <w:rPr>
                <w:b/>
                <w:color w:val="FFFFFF"/>
                <w:sz w:val="18"/>
              </w:rPr>
              <w:t xml:space="preserve">Activity</w:t>
            </w:r>
          </w:p>
        </w:tc>
        <w:tc>
          <w:tcPr>
            <w:tcW w:w="1500" w:type="dxa"/>
            <w:shd w:val="clear" w:color="auto" w:fill="0D2137"/>
            <w:tcMar>
              <w:top w:w="45" w:type="dxa"/>
              <w:left w:w="85" w:type="dxa"/>
              <w:bottom w:w="45" w:type="dxa"/>
              <w:right w:w="85" w:type="dxa"/>
            </w:tcMar>
          </w:tcPr>
          <w:p>
            <w:pPr>
              <w:spacing w:after="0" w:before="0"/>
            </w:pPr>
            <w:r>
              <w:rPr>
                <w:b/>
                <w:color w:val="FFFFFF"/>
                <w:sz w:val="18"/>
              </w:rPr>
              <w:t xml:space="preserve">Ionity (Johan + team)</w:t>
            </w:r>
          </w:p>
        </w:tc>
        <w:tc>
          <w:tcPr>
            <w:tcW w:w="1400" w:type="dxa"/>
            <w:shd w:val="clear" w:color="auto" w:fill="0D2137"/>
            <w:tcMar>
              <w:top w:w="45" w:type="dxa"/>
              <w:left w:w="85" w:type="dxa"/>
              <w:bottom w:w="45" w:type="dxa"/>
              <w:right w:w="85" w:type="dxa"/>
            </w:tcMar>
          </w:tcPr>
          <w:p>
            <w:pPr>
              <w:spacing w:after="0" w:before="0"/>
            </w:pPr>
            <w:r>
              <w:rPr>
                <w:b/>
                <w:color w:val="FFFFFF"/>
                <w:sz w:val="18"/>
              </w:rPr>
              <w:t xml:space="preserve">Neetin (IT Ops)</w:t>
            </w:r>
          </w:p>
        </w:tc>
        <w:tc>
          <w:tcPr>
            <w:tcW w:w="1400" w:type="dxa"/>
            <w:shd w:val="clear" w:color="auto" w:fill="0D2137"/>
            <w:tcMar>
              <w:top w:w="45" w:type="dxa"/>
              <w:left w:w="85" w:type="dxa"/>
              <w:bottom w:w="45" w:type="dxa"/>
              <w:right w:w="85" w:type="dxa"/>
            </w:tcMar>
          </w:tcPr>
          <w:p>
            <w:pPr>
              <w:spacing w:after="0" w:before="0"/>
            </w:pPr>
            <w:r>
              <w:rPr>
                <w:b/>
                <w:color w:val="FFFFFF"/>
                <w:sz w:val="18"/>
              </w:rPr>
              <w:t xml:space="preserve">Lillian (Commercial/Gov)</w:t>
            </w:r>
          </w:p>
        </w:tc>
        <w:tc>
          <w:tcPr>
            <w:tcW w:w="1500" w:type="dxa"/>
            <w:shd w:val="clear" w:color="auto" w:fill="0D2137"/>
            <w:tcMar>
              <w:top w:w="45" w:type="dxa"/>
              <w:left w:w="85" w:type="dxa"/>
              <w:bottom w:w="45" w:type="dxa"/>
              <w:right w:w="85" w:type="dxa"/>
            </w:tcMar>
          </w:tcPr>
          <w:p>
            <w:pPr>
              <w:spacing w:after="0" w:before="0"/>
            </w:pPr>
            <w:r>
              <w:rPr>
                <w:b/>
                <w:color w:val="FFFFFF"/>
                <w:sz w:val="18"/>
              </w:rPr>
              <w:t xml:space="preserve">Pierre / Angela (Finance)</w:t>
            </w:r>
          </w:p>
        </w:tc>
        <w:tc>
          <w:tcPr>
            <w:tcW w:w="1600" w:type="dxa"/>
            <w:shd w:val="clear" w:color="auto" w:fill="0D2137"/>
            <w:tcMar>
              <w:top w:w="45" w:type="dxa"/>
              <w:left w:w="85" w:type="dxa"/>
              <w:bottom w:w="45" w:type="dxa"/>
              <w:right w:w="85" w:type="dxa"/>
            </w:tcMar>
          </w:tcPr>
          <w:p>
            <w:pPr>
              <w:spacing w:after="0" w:before="0"/>
            </w:pPr>
            <w:r>
              <w:rPr>
                <w:b/>
                <w:color w:val="FFFFFF"/>
                <w:sz w:val="18"/>
              </w:rPr>
              <w:t xml:space="preserve">CEO / 3rd parties</w:t>
            </w:r>
          </w:p>
        </w:tc>
      </w:tr>
      <w:tr>
        <w:tc>
          <w:tcPr>
            <w:tcW w:w="2700" w:type="dxa"/>
            <w:tcMar>
              <w:top w:w="45" w:type="dxa"/>
              <w:left w:w="85" w:type="dxa"/>
              <w:bottom w:w="45" w:type="dxa"/>
              <w:right w:w="85" w:type="dxa"/>
            </w:tcMar>
          </w:tcPr>
          <w:p>
            <w:pPr>
              <w:spacing w:after="0" w:before="0"/>
            </w:pPr>
            <w:r>
              <w:rPr>
                <w:b w:val="0"/>
                <w:color w:val="33414F"/>
                <w:sz w:val="18"/>
              </w:rPr>
              <w:t xml:space="preserve">Exco decision pack &amp; pathway choice</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A</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600" w:type="dxa"/>
            <w:tcMar>
              <w:top w:w="45" w:type="dxa"/>
              <w:left w:w="85" w:type="dxa"/>
              <w:bottom w:w="45" w:type="dxa"/>
              <w:right w:w="85" w:type="dxa"/>
            </w:tcMar>
          </w:tcPr>
          <w:p>
            <w:pPr>
              <w:spacing w:after="0" w:before="0"/>
            </w:pPr>
            <w:r>
              <w:rPr>
                <w:b w:val="0"/>
                <w:color w:val="33414F"/>
                <w:sz w:val="18"/>
              </w:rPr>
              <w:t xml:space="preserve">Dr Mtshali — final approval</w:t>
            </w:r>
          </w:p>
        </w:tc>
      </w:tr>
      <w:tr>
        <w:tc>
          <w:tcPr>
            <w:tcW w:w="2700" w:type="dxa"/>
            <w:tcMar>
              <w:top w:w="45" w:type="dxa"/>
              <w:left w:w="85" w:type="dxa"/>
              <w:bottom w:w="45" w:type="dxa"/>
              <w:right w:w="85" w:type="dxa"/>
            </w:tcMar>
          </w:tcPr>
          <w:p>
            <w:pPr>
              <w:spacing w:after="0" w:before="0"/>
            </w:pPr>
            <w:r>
              <w:rPr>
                <w:b w:val="0"/>
                <w:color w:val="33414F"/>
                <w:sz w:val="18"/>
              </w:rPr>
              <w:t xml:space="preserve">AWS exit build &amp; cutover (path A/B/E)</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I</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Microsoft / AWS — C</w:t>
            </w:r>
          </w:p>
        </w:tc>
      </w:tr>
      <w:tr>
        <w:tc>
          <w:tcPr>
            <w:tcW w:w="2700" w:type="dxa"/>
            <w:tcMar>
              <w:top w:w="45" w:type="dxa"/>
              <w:left w:w="85" w:type="dxa"/>
              <w:bottom w:w="45" w:type="dxa"/>
              <w:right w:w="85" w:type="dxa"/>
            </w:tcMar>
          </w:tcPr>
          <w:p>
            <w:pPr>
              <w:spacing w:after="0" w:before="0"/>
            </w:pPr>
            <w:r>
              <w:rPr>
                <w:b w:val="0"/>
                <w:color w:val="33414F"/>
                <w:sz w:val="18"/>
              </w:rPr>
              <w:t xml:space="preserve">AWS RDS downscale (F-04)</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I</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AWS — C</w:t>
            </w:r>
          </w:p>
        </w:tc>
      </w:tr>
      <w:tr>
        <w:tc>
          <w:tcPr>
            <w:tcW w:w="2700" w:type="dxa"/>
            <w:tcMar>
              <w:top w:w="45" w:type="dxa"/>
              <w:left w:w="85" w:type="dxa"/>
              <w:bottom w:w="45" w:type="dxa"/>
              <w:right w:w="85" w:type="dxa"/>
            </w:tcMar>
          </w:tcPr>
          <w:p>
            <w:pPr>
              <w:spacing w:after="0" w:before="0"/>
            </w:pPr>
            <w:r>
              <w:rPr>
                <w:b w:val="0"/>
                <w:color w:val="33414F"/>
                <w:sz w:val="18"/>
              </w:rPr>
              <w:t xml:space="preserve">SMART 2 .NET refresh (F-06) / residency (F-01)</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I</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Garrett (Smart2) — C</w:t>
            </w:r>
          </w:p>
        </w:tc>
      </w:tr>
      <w:tr>
        <w:tc>
          <w:tcPr>
            <w:tcW w:w="2700" w:type="dxa"/>
            <w:tcMar>
              <w:top w:w="45" w:type="dxa"/>
              <w:left w:w="85" w:type="dxa"/>
              <w:bottom w:w="45" w:type="dxa"/>
              <w:right w:w="85" w:type="dxa"/>
            </w:tcMar>
          </w:tcPr>
          <w:p>
            <w:pPr>
              <w:spacing w:after="0" w:before="0"/>
            </w:pPr>
            <w:r>
              <w:rPr>
                <w:b w:val="0"/>
                <w:color w:val="33414F"/>
                <w:sz w:val="18"/>
              </w:rPr>
              <w:t xml:space="preserve">MFA + rotation + JML SOP (F-03)</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I</w:t>
            </w:r>
          </w:p>
        </w:tc>
        <w:tc>
          <w:tcPr>
            <w:tcW w:w="1500" w:type="dxa"/>
            <w:tcMar>
              <w:top w:w="45" w:type="dxa"/>
              <w:left w:w="85" w:type="dxa"/>
              <w:bottom w:w="45" w:type="dxa"/>
              <w:right w:w="85" w:type="dxa"/>
            </w:tcMar>
          </w:tcPr>
          <w:p>
            <w:pPr>
              <w:spacing w:after="0" w:before="0"/>
            </w:pPr>
            <w:r>
              <w:rPr>
                <w:b w:val="0"/>
                <w:color w:val="33414F"/>
                <w:sz w:val="18"/>
              </w:rPr>
              <w:t xml:space="preserve">C (HR)</w:t>
            </w:r>
          </w:p>
        </w:tc>
        <w:tc>
          <w:tcPr>
            <w:tcW w:w="1600" w:type="dxa"/>
            <w:tcMar>
              <w:top w:w="45" w:type="dxa"/>
              <w:left w:w="85" w:type="dxa"/>
              <w:bottom w:w="45" w:type="dxa"/>
              <w:right w:w="85" w:type="dxa"/>
            </w:tcMar>
          </w:tcPr>
          <w:p>
            <w:pPr>
              <w:spacing w:after="0" w:before="0"/>
            </w:pPr>
            <w:r>
              <w:rPr>
                <w:b w:val="0"/>
                <w:color w:val="33414F"/>
                <w:sz w:val="18"/>
              </w:rPr>
              <w:t xml:space="preserve">—</w:t>
            </w:r>
          </w:p>
        </w:tc>
      </w:tr>
      <w:tr>
        <w:tc>
          <w:tcPr>
            <w:tcW w:w="2700" w:type="dxa"/>
            <w:tcMar>
              <w:top w:w="45" w:type="dxa"/>
              <w:left w:w="85" w:type="dxa"/>
              <w:bottom w:w="45" w:type="dxa"/>
              <w:right w:w="85" w:type="dxa"/>
            </w:tcMar>
          </w:tcPr>
          <w:p>
            <w:pPr>
              <w:spacing w:after="0" w:before="0"/>
            </w:pPr>
            <w:r>
              <w:rPr>
                <w:b w:val="0"/>
                <w:color w:val="33414F"/>
                <w:sz w:val="18"/>
              </w:rPr>
              <w:t xml:space="preserve">Mimecast notice &amp; Jura consolidation (F-02)</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R/A</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Mimecast — I</w:t>
            </w:r>
          </w:p>
        </w:tc>
      </w:tr>
      <w:tr>
        <w:tc>
          <w:tcPr>
            <w:tcW w:w="2700" w:type="dxa"/>
            <w:tcMar>
              <w:top w:w="45" w:type="dxa"/>
              <w:left w:w="85" w:type="dxa"/>
              <w:bottom w:w="45" w:type="dxa"/>
              <w:right w:w="85" w:type="dxa"/>
            </w:tcMar>
          </w:tcPr>
          <w:p>
            <w:pPr>
              <w:spacing w:after="0" w:before="0"/>
            </w:pPr>
            <w:r>
              <w:rPr>
                <w:b w:val="0"/>
                <w:color w:val="33414F"/>
                <w:sz w:val="18"/>
              </w:rPr>
              <w:t xml:space="preserve">ERP route &amp; implementation (F-05)</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A</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600" w:type="dxa"/>
            <w:tcMar>
              <w:top w:w="45" w:type="dxa"/>
              <w:left w:w="85" w:type="dxa"/>
              <w:bottom w:w="45" w:type="dxa"/>
              <w:right w:w="85" w:type="dxa"/>
            </w:tcMar>
          </w:tcPr>
          <w:p>
            <w:pPr>
              <w:spacing w:after="0" w:before="0"/>
            </w:pPr>
            <w:r>
              <w:rPr>
                <w:b w:val="0"/>
                <w:color w:val="33414F"/>
                <w:sz w:val="18"/>
              </w:rPr>
              <w:t xml:space="preserve">Sage / Preferred Solutions / MS — R</w:t>
            </w:r>
          </w:p>
        </w:tc>
      </w:tr>
      <w:tr>
        <w:tc>
          <w:tcPr>
            <w:tcW w:w="2700" w:type="dxa"/>
            <w:tcMar>
              <w:top w:w="45" w:type="dxa"/>
              <w:left w:w="85" w:type="dxa"/>
              <w:bottom w:w="45" w:type="dxa"/>
              <w:right w:w="85" w:type="dxa"/>
            </w:tcMar>
          </w:tcPr>
          <w:p>
            <w:pPr>
              <w:spacing w:after="0" w:before="0"/>
            </w:pPr>
            <w:r>
              <w:rPr>
                <w:b w:val="0"/>
                <w:color w:val="33414F"/>
                <w:sz w:val="18"/>
              </w:rPr>
              <w:t xml:space="preserve">AI Data Platform + NACOSA dashboard</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I</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Vui (data) — C</w:t>
            </w:r>
          </w:p>
        </w:tc>
      </w:tr>
      <w:tr>
        <w:tc>
          <w:tcPr>
            <w:tcW w:w="2700" w:type="dxa"/>
            <w:tcMar>
              <w:top w:w="45" w:type="dxa"/>
              <w:left w:w="85" w:type="dxa"/>
              <w:bottom w:w="45" w:type="dxa"/>
              <w:right w:w="85" w:type="dxa"/>
            </w:tcMar>
          </w:tcPr>
          <w:p>
            <w:pPr>
              <w:spacing w:after="0" w:before="0"/>
            </w:pPr>
            <w:r>
              <w:rPr>
                <w:b w:val="0"/>
                <w:color w:val="33414F"/>
                <w:sz w:val="18"/>
              </w:rPr>
              <w:t xml:space="preserve">Chomi Option C / FLOW scoping</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A (FLOW: Paul)</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Botpress — I</w:t>
            </w:r>
          </w:p>
        </w:tc>
      </w:tr>
      <w:tr>
        <w:tc>
          <w:tcPr>
            <w:tcW w:w="2700" w:type="dxa"/>
            <w:tcMar>
              <w:top w:w="45" w:type="dxa"/>
              <w:left w:w="85" w:type="dxa"/>
              <w:bottom w:w="45" w:type="dxa"/>
              <w:right w:w="85" w:type="dxa"/>
            </w:tcMar>
          </w:tcPr>
          <w:p>
            <w:pPr>
              <w:spacing w:after="0" w:before="0"/>
            </w:pPr>
            <w:r>
              <w:rPr>
                <w:b w:val="0"/>
                <w:color w:val="33414F"/>
                <w:sz w:val="18"/>
              </w:rPr>
              <w:t xml:space="preserve">DOME-Network scoping &amp; build gate</w:t>
            </w:r>
          </w:p>
        </w:tc>
        <w:tc>
          <w:tcPr>
            <w:tcW w:w="15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A</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Dr Mtshali — I</w:t>
            </w:r>
          </w:p>
        </w:tc>
      </w:tr>
      <w:tr>
        <w:tc>
          <w:tcPr>
            <w:tcW w:w="2700" w:type="dxa"/>
            <w:tcMar>
              <w:top w:w="45" w:type="dxa"/>
              <w:left w:w="85" w:type="dxa"/>
              <w:bottom w:w="45" w:type="dxa"/>
              <w:right w:w="85" w:type="dxa"/>
            </w:tcMar>
          </w:tcPr>
          <w:p>
            <w:pPr>
              <w:spacing w:after="0" w:before="0"/>
            </w:pPr>
            <w:r>
              <w:rPr>
                <w:b w:val="0"/>
                <w:color w:val="33414F"/>
                <w:sz w:val="18"/>
              </w:rPr>
              <w:t xml:space="preserve">AI Governance Pack rollout (Section 14)</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R (author)</w:t>
            </w:r>
          </w:p>
        </w:tc>
        <w:tc>
          <w:tcPr>
            <w:tcW w:w="1400" w:type="dxa"/>
            <w:tcMar>
              <w:top w:w="45" w:type="dxa"/>
              <w:left w:w="85" w:type="dxa"/>
              <w:bottom w:w="45" w:type="dxa"/>
              <w:right w:w="85" w:type="dxa"/>
            </w:tcMar>
          </w:tcPr>
          <w:p>
            <w:pPr>
              <w:spacing w:after="0" w:before="0"/>
            </w:pPr>
            <w:r>
              <w:rPr>
                <w:b w:val="0"/>
                <w:color w:val="33414F"/>
                <w:sz w:val="18"/>
              </w:rPr>
              <w:t xml:space="preserve">Gov review</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Daniel Botha (legal) — C</w:t>
            </w:r>
          </w:p>
        </w:tc>
      </w:tr>
      <w:tr>
        <w:tc>
          <w:tcPr>
            <w:tcW w:w="2700" w:type="dxa"/>
            <w:tcMar>
              <w:top w:w="45" w:type="dxa"/>
              <w:left w:w="85" w:type="dxa"/>
              <w:bottom w:w="45" w:type="dxa"/>
              <w:right w:w="85" w:type="dxa"/>
            </w:tcMar>
          </w:tcPr>
          <w:p>
            <w:pPr>
              <w:spacing w:after="0" w:before="0"/>
            </w:pPr>
            <w:r>
              <w:rPr>
                <w:b w:val="0"/>
                <w:color w:val="33414F"/>
                <w:sz w:val="18"/>
              </w:rPr>
              <w:t xml:space="preserve">IA·MCP weekly audit review</w:t>
            </w:r>
          </w:p>
        </w:tc>
        <w:tc>
          <w:tcPr>
            <w:tcW w:w="1500" w:type="dxa"/>
            <w:tcMar>
              <w:top w:w="45" w:type="dxa"/>
              <w:left w:w="85" w:type="dxa"/>
              <w:bottom w:w="45" w:type="dxa"/>
              <w:right w:w="85" w:type="dxa"/>
            </w:tcMar>
          </w:tcPr>
          <w:p>
            <w:pPr>
              <w:spacing w:after="0" w:before="0"/>
            </w:pPr>
            <w:r>
              <w:rPr>
                <w:b w:val="0"/>
                <w:color w:val="33414F"/>
                <w:sz w:val="18"/>
              </w:rPr>
              <w:t xml:space="preserve">C</w:t>
            </w:r>
          </w:p>
        </w:tc>
        <w:tc>
          <w:tcPr>
            <w:tcW w:w="1400" w:type="dxa"/>
            <w:tcMar>
              <w:top w:w="45" w:type="dxa"/>
              <w:left w:w="85" w:type="dxa"/>
              <w:bottom w:w="45" w:type="dxa"/>
              <w:right w:w="85" w:type="dxa"/>
            </w:tcMar>
          </w:tcPr>
          <w:p>
            <w:pPr>
              <w:spacing w:after="0" w:before="0"/>
            </w:pPr>
            <w:r>
              <w:rPr>
                <w:b w:val="0"/>
                <w:color w:val="33414F"/>
                <w:sz w:val="18"/>
              </w:rPr>
              <w:t xml:space="preserve">R</w:t>
            </w:r>
          </w:p>
        </w:tc>
        <w:tc>
          <w:tcPr>
            <w:tcW w:w="1400" w:type="dxa"/>
            <w:tcMar>
              <w:top w:w="45" w:type="dxa"/>
              <w:left w:w="85" w:type="dxa"/>
              <w:bottom w:w="45" w:type="dxa"/>
              <w:right w:w="85" w:type="dxa"/>
            </w:tcMar>
          </w:tcPr>
          <w:p>
            <w:pPr>
              <w:spacing w:after="0" w:before="0"/>
            </w:pPr>
            <w:r>
              <w:rPr>
                <w:b w:val="0"/>
                <w:color w:val="33414F"/>
                <w:sz w:val="18"/>
              </w:rPr>
              <w:t xml:space="preserve">I</w:t>
            </w:r>
          </w:p>
        </w:tc>
        <w:tc>
          <w:tcPr>
            <w:tcW w:w="1500" w:type="dxa"/>
            <w:tcMar>
              <w:top w:w="45" w:type="dxa"/>
              <w:left w:w="85" w:type="dxa"/>
              <w:bottom w:w="45" w:type="dxa"/>
              <w:right w:w="85" w:type="dxa"/>
            </w:tcMar>
          </w:tcPr>
          <w:p>
            <w:pPr>
              <w:spacing w:after="0" w:before="0"/>
            </w:pPr>
            <w:r>
              <w:rPr>
                <w:b w:val="0"/>
                <w:color w:val="33414F"/>
                <w:sz w:val="18"/>
              </w:rPr>
              <w:t xml:space="preserve">I</w:t>
            </w:r>
          </w:p>
        </w:tc>
        <w:tc>
          <w:tcPr>
            <w:tcW w:w="1600" w:type="dxa"/>
            <w:tcMar>
              <w:top w:w="45" w:type="dxa"/>
              <w:left w:w="85" w:type="dxa"/>
              <w:bottom w:w="45" w:type="dxa"/>
              <w:right w:w="85" w:type="dxa"/>
            </w:tcMar>
          </w:tcPr>
          <w:p>
            <w:pPr>
              <w:spacing w:after="0" w:before="0"/>
            </w:pPr>
            <w:r>
              <w:rPr>
                <w:b w:val="0"/>
                <w:color w:val="33414F"/>
                <w:sz w:val="18"/>
              </w:rPr>
              <w:t xml:space="preserve">—</w:t>
            </w:r>
          </w:p>
        </w:tc>
      </w:tr>
    </w:tbl>
    <w:p>
      <w:r>
        <w:br w:type="page"/>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12. SOP — Standard Operating Procedures</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Every change runs through one loop — run by people now, institutionalised by DOME later (Section 6). The audit’s core lesson stands: mitigations existed but were not documented. From now: if it is not logged, it did not happen.</w:t>
      </w:r>
    </w:p>
    <w:p>
      <w:pPr>
        <w:spacing w:before="80" w:after="120"/>
        <w:jc w:val="center"/>
      </w:pPr>
      <w:r>
        <w:drawing>
          <wp:inline xmlns:wp="http://schemas.openxmlformats.org/drawingml/2006/wordprocessingDrawing" distT="0" distB="0" distL="0" distR="0">
            <wp:extent cx="5852160" cy="4673806"/>
            <wp:effectExtent l="0" t="0" r="0" b="0"/>
            <wp:docPr id="205" name="SOP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SOP cycle"/>
                    <pic:cNvPicPr/>
                  </pic:nvPicPr>
                  <pic:blipFill>
                    <a:blip r:embed="rIdD5"/>
                    <a:stretch>
                      <a:fillRect/>
                    </a:stretch>
                  </pic:blipFill>
                  <pic:spPr>
                    <a:xfrm>
                      <a:off x="0" y="0"/>
                      <a:ext cx="5852160" cy="4673806"/>
                    </a:xfrm>
                    <a:prstGeom prst="rect">
                      <a:avLst/>
                    </a:prstGeom>
                  </pic:spPr>
                </pic:pic>
              </a:graphicData>
            </a:graphic>
          </wp:inline>
        </w:drawing>
      </w: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12.1 SOP register</w:t>
      </w:r>
    </w:p>
    <w:tbl>
      <w:tblPr>
        <w:tblW w:w="91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1100"/>
        <w:gridCol w:w="3000"/>
        <w:gridCol w:w="1800"/>
        <w:gridCol w:w="1400"/>
        <w:gridCol w:w="1800"/>
      </w:tblGrid>
      <w:tr>
        <w:tc>
          <w:tcPr>
            <w:tcW w:w="1100" w:type="dxa"/>
            <w:shd w:val="clear" w:color="auto" w:fill="0D2137"/>
            <w:tcMar>
              <w:top w:w="45" w:type="dxa"/>
              <w:left w:w="85" w:type="dxa"/>
              <w:bottom w:w="45" w:type="dxa"/>
              <w:right w:w="85" w:type="dxa"/>
            </w:tcMar>
          </w:tcPr>
          <w:p>
            <w:pPr>
              <w:spacing w:after="0" w:before="0"/>
            </w:pPr>
            <w:r>
              <w:rPr>
                <w:b/>
                <w:color w:val="FFFFFF"/>
                <w:sz w:val="18"/>
              </w:rPr>
              <w:t xml:space="preserve">SOP</w:t>
            </w:r>
          </w:p>
        </w:tc>
        <w:tc>
          <w:tcPr>
            <w:tcW w:w="3000" w:type="dxa"/>
            <w:shd w:val="clear" w:color="auto" w:fill="0D2137"/>
            <w:tcMar>
              <w:top w:w="45" w:type="dxa"/>
              <w:left w:w="85" w:type="dxa"/>
              <w:bottom w:w="45" w:type="dxa"/>
              <w:right w:w="85" w:type="dxa"/>
            </w:tcMar>
          </w:tcPr>
          <w:p>
            <w:pPr>
              <w:spacing w:after="0" w:before="0"/>
            </w:pPr>
            <w:r>
              <w:rPr>
                <w:b/>
                <w:color w:val="FFFFFF"/>
                <w:sz w:val="18"/>
              </w:rPr>
              <w:t xml:space="preserve">Purpose</w:t>
            </w:r>
          </w:p>
        </w:tc>
        <w:tc>
          <w:tcPr>
            <w:tcW w:w="1800" w:type="dxa"/>
            <w:shd w:val="clear" w:color="auto" w:fill="0D2137"/>
            <w:tcMar>
              <w:top w:w="45" w:type="dxa"/>
              <w:left w:w="85" w:type="dxa"/>
              <w:bottom w:w="45" w:type="dxa"/>
              <w:right w:w="85" w:type="dxa"/>
            </w:tcMar>
          </w:tcPr>
          <w:p>
            <w:pPr>
              <w:spacing w:after="0" w:before="0"/>
            </w:pPr>
            <w:r>
              <w:rPr>
                <w:b/>
                <w:color w:val="FFFFFF"/>
                <w:sz w:val="18"/>
              </w:rPr>
              <w:t xml:space="preserve">Owner</w:t>
            </w:r>
          </w:p>
        </w:tc>
        <w:tc>
          <w:tcPr>
            <w:tcW w:w="1400" w:type="dxa"/>
            <w:shd w:val="clear" w:color="auto" w:fill="0D2137"/>
            <w:tcMar>
              <w:top w:w="45" w:type="dxa"/>
              <w:left w:w="85" w:type="dxa"/>
              <w:bottom w:w="45" w:type="dxa"/>
              <w:right w:w="85" w:type="dxa"/>
            </w:tcMar>
          </w:tcPr>
          <w:p>
            <w:pPr>
              <w:spacing w:after="0" w:before="0"/>
            </w:pPr>
            <w:r>
              <w:rPr>
                <w:b/>
                <w:color w:val="FFFFFF"/>
                <w:sz w:val="18"/>
              </w:rPr>
              <w:t xml:space="preserve">Cadence</w:t>
            </w:r>
          </w:p>
        </w:tc>
        <w:tc>
          <w:tcPr>
            <w:tcW w:w="1800" w:type="dxa"/>
            <w:shd w:val="clear" w:color="auto" w:fill="0D2137"/>
            <w:tcMar>
              <w:top w:w="45" w:type="dxa"/>
              <w:left w:w="85" w:type="dxa"/>
              <w:bottom w:w="45" w:type="dxa"/>
              <w:right w:w="85" w:type="dxa"/>
            </w:tcMar>
          </w:tcPr>
          <w:p>
            <w:pPr>
              <w:spacing w:after="0" w:before="0"/>
            </w:pPr>
            <w:r>
              <w:rPr>
                <w:b/>
                <w:color w:val="FFFFFF"/>
                <w:sz w:val="18"/>
              </w:rPr>
              <w:t xml:space="preserve">Evidence</w:t>
            </w:r>
          </w:p>
        </w:tc>
      </w:tr>
      <w:tr>
        <w:tc>
          <w:tcPr>
            <w:tcW w:w="1100" w:type="dxa"/>
            <w:tcMar>
              <w:top w:w="45" w:type="dxa"/>
              <w:left w:w="85" w:type="dxa"/>
              <w:bottom w:w="45" w:type="dxa"/>
              <w:right w:w="85" w:type="dxa"/>
            </w:tcMar>
          </w:tcPr>
          <w:p>
            <w:pPr>
              <w:spacing w:after="0" w:before="0"/>
            </w:pPr>
            <w:r>
              <w:rPr>
                <w:b w:val="0"/>
                <w:color w:val="33414F"/>
                <w:sz w:val="18"/>
              </w:rPr>
              <w:t xml:space="preserve">SOP-01</w:t>
            </w:r>
          </w:p>
        </w:tc>
        <w:tc>
          <w:tcPr>
            <w:tcW w:w="3000" w:type="dxa"/>
            <w:tcMar>
              <w:top w:w="45" w:type="dxa"/>
              <w:left w:w="85" w:type="dxa"/>
              <w:bottom w:w="45" w:type="dxa"/>
              <w:right w:w="85" w:type="dxa"/>
            </w:tcMar>
          </w:tcPr>
          <w:p>
            <w:pPr>
              <w:spacing w:after="0" w:before="0"/>
            </w:pPr>
            <w:r>
              <w:rPr>
                <w:b w:val="0"/>
                <w:color w:val="33414F"/>
                <w:sz w:val="18"/>
              </w:rPr>
              <w:t xml:space="preserve">Change management — intake via SPOC, written approval, rollback stated</w:t>
            </w:r>
          </w:p>
        </w:tc>
        <w:tc>
          <w:tcPr>
            <w:tcW w:w="1800" w:type="dxa"/>
            <w:tcMar>
              <w:top w:w="45" w:type="dxa"/>
              <w:left w:w="85" w:type="dxa"/>
              <w:bottom w:w="45" w:type="dxa"/>
              <w:right w:w="85" w:type="dxa"/>
            </w:tcMar>
          </w:tcPr>
          <w:p>
            <w:pPr>
              <w:spacing w:after="0" w:before="0"/>
            </w:pPr>
            <w:r>
              <w:rPr>
                <w:b w:val="0"/>
                <w:color w:val="33414F"/>
                <w:sz w:val="18"/>
              </w:rPr>
              <w:t xml:space="preserve">Ionity + Neetin</w:t>
            </w:r>
          </w:p>
        </w:tc>
        <w:tc>
          <w:tcPr>
            <w:tcW w:w="1400" w:type="dxa"/>
            <w:tcMar>
              <w:top w:w="45" w:type="dxa"/>
              <w:left w:w="85" w:type="dxa"/>
              <w:bottom w:w="45" w:type="dxa"/>
              <w:right w:w="85" w:type="dxa"/>
            </w:tcMar>
          </w:tcPr>
          <w:p>
            <w:pPr>
              <w:spacing w:after="0" w:before="0"/>
            </w:pPr>
            <w:r>
              <w:rPr>
                <w:b w:val="0"/>
                <w:color w:val="33414F"/>
                <w:sz w:val="18"/>
              </w:rPr>
              <w:t xml:space="preserve">Per change</w:t>
            </w:r>
          </w:p>
        </w:tc>
        <w:tc>
          <w:tcPr>
            <w:tcW w:w="1800" w:type="dxa"/>
            <w:tcMar>
              <w:top w:w="45" w:type="dxa"/>
              <w:left w:w="85" w:type="dxa"/>
              <w:bottom w:w="45" w:type="dxa"/>
              <w:right w:w="85" w:type="dxa"/>
            </w:tcMar>
          </w:tcPr>
          <w:p>
            <w:pPr>
              <w:spacing w:after="0" w:before="0"/>
            </w:pPr>
            <w:r>
              <w:rPr>
                <w:b w:val="0"/>
                <w:color w:val="33414F"/>
                <w:sz w:val="18"/>
              </w:rPr>
              <w:t xml:space="preserve">Change record + sign-off</w:t>
            </w:r>
          </w:p>
        </w:tc>
      </w:tr>
      <w:tr>
        <w:tc>
          <w:tcPr>
            <w:tcW w:w="1100" w:type="dxa"/>
            <w:tcMar>
              <w:top w:w="45" w:type="dxa"/>
              <w:left w:w="85" w:type="dxa"/>
              <w:bottom w:w="45" w:type="dxa"/>
              <w:right w:w="85" w:type="dxa"/>
            </w:tcMar>
          </w:tcPr>
          <w:p>
            <w:pPr>
              <w:spacing w:after="0" w:before="0"/>
            </w:pPr>
            <w:r>
              <w:rPr>
                <w:b w:val="0"/>
                <w:color w:val="33414F"/>
                <w:sz w:val="18"/>
              </w:rPr>
              <w:t xml:space="preserve">SOP-02</w:t>
            </w:r>
          </w:p>
        </w:tc>
        <w:tc>
          <w:tcPr>
            <w:tcW w:w="3000" w:type="dxa"/>
            <w:tcMar>
              <w:top w:w="45" w:type="dxa"/>
              <w:left w:w="85" w:type="dxa"/>
              <w:bottom w:w="45" w:type="dxa"/>
              <w:right w:w="85" w:type="dxa"/>
            </w:tcMar>
          </w:tcPr>
          <w:p>
            <w:pPr>
              <w:spacing w:after="0" w:before="0"/>
            </w:pPr>
            <w:r>
              <w:rPr>
                <w:b w:val="0"/>
                <w:color w:val="33414F"/>
                <w:sz w:val="18"/>
              </w:rPr>
              <w:t xml:space="preserve">Access &amp; identity — MFA enforced, 90-day rotation, usage reporting</w:t>
            </w:r>
          </w:p>
        </w:tc>
        <w:tc>
          <w:tcPr>
            <w:tcW w:w="1800" w:type="dxa"/>
            <w:tcMar>
              <w:top w:w="45" w:type="dxa"/>
              <w:left w:w="85" w:type="dxa"/>
              <w:bottom w:w="45" w:type="dxa"/>
              <w:right w:w="85" w:type="dxa"/>
            </w:tcMar>
          </w:tcPr>
          <w:p>
            <w:pPr>
              <w:spacing w:after="0" w:before="0"/>
            </w:pPr>
            <w:r>
              <w:rPr>
                <w:b w:val="0"/>
                <w:color w:val="33414F"/>
                <w:sz w:val="18"/>
              </w:rPr>
              <w:t xml:space="preserve">Neetin</w:t>
            </w:r>
          </w:p>
        </w:tc>
        <w:tc>
          <w:tcPr>
            <w:tcW w:w="1400" w:type="dxa"/>
            <w:tcMar>
              <w:top w:w="45" w:type="dxa"/>
              <w:left w:w="85" w:type="dxa"/>
              <w:bottom w:w="45" w:type="dxa"/>
              <w:right w:w="85" w:type="dxa"/>
            </w:tcMar>
          </w:tcPr>
          <w:p>
            <w:pPr>
              <w:spacing w:after="0" w:before="0"/>
            </w:pPr>
            <w:r>
              <w:rPr>
                <w:b w:val="0"/>
                <w:color w:val="33414F"/>
                <w:sz w:val="18"/>
              </w:rPr>
              <w:t xml:space="preserve">90 days</w:t>
            </w:r>
          </w:p>
        </w:tc>
        <w:tc>
          <w:tcPr>
            <w:tcW w:w="1800" w:type="dxa"/>
            <w:tcMar>
              <w:top w:w="45" w:type="dxa"/>
              <w:left w:w="85" w:type="dxa"/>
              <w:bottom w:w="45" w:type="dxa"/>
              <w:right w:w="85" w:type="dxa"/>
            </w:tcMar>
          </w:tcPr>
          <w:p>
            <w:pPr>
              <w:spacing w:after="0" w:before="0"/>
            </w:pPr>
            <w:r>
              <w:rPr>
                <w:b w:val="0"/>
                <w:color w:val="33414F"/>
                <w:sz w:val="18"/>
              </w:rPr>
              <w:t xml:space="preserve">Entra reports</w:t>
            </w:r>
          </w:p>
        </w:tc>
      </w:tr>
      <w:tr>
        <w:tc>
          <w:tcPr>
            <w:tcW w:w="1100" w:type="dxa"/>
            <w:tcMar>
              <w:top w:w="45" w:type="dxa"/>
              <w:left w:w="85" w:type="dxa"/>
              <w:bottom w:w="45" w:type="dxa"/>
              <w:right w:w="85" w:type="dxa"/>
            </w:tcMar>
          </w:tcPr>
          <w:p>
            <w:pPr>
              <w:spacing w:after="0" w:before="0"/>
            </w:pPr>
            <w:r>
              <w:rPr>
                <w:b w:val="0"/>
                <w:color w:val="33414F"/>
                <w:sz w:val="18"/>
              </w:rPr>
              <w:t xml:space="preserve">SOP-03</w:t>
            </w:r>
          </w:p>
        </w:tc>
        <w:tc>
          <w:tcPr>
            <w:tcW w:w="3000" w:type="dxa"/>
            <w:tcMar>
              <w:top w:w="45" w:type="dxa"/>
              <w:left w:w="85" w:type="dxa"/>
              <w:bottom w:w="45" w:type="dxa"/>
              <w:right w:w="85" w:type="dxa"/>
            </w:tcMar>
          </w:tcPr>
          <w:p>
            <w:pPr>
              <w:spacing w:after="0" w:before="0"/>
            </w:pPr>
            <w:r>
              <w:rPr>
                <w:b w:val="0"/>
                <w:color w:val="33414F"/>
                <w:sz w:val="18"/>
              </w:rPr>
              <w:t xml:space="preserve">Joiner–mover–leaver — checklist, revocation, data removal (F-03)</w:t>
            </w:r>
          </w:p>
        </w:tc>
        <w:tc>
          <w:tcPr>
            <w:tcW w:w="1800" w:type="dxa"/>
            <w:tcMar>
              <w:top w:w="45" w:type="dxa"/>
              <w:left w:w="85" w:type="dxa"/>
              <w:bottom w:w="45" w:type="dxa"/>
              <w:right w:w="85" w:type="dxa"/>
            </w:tcMar>
          </w:tcPr>
          <w:p>
            <w:pPr>
              <w:spacing w:after="0" w:before="0"/>
            </w:pPr>
            <w:r>
              <w:rPr>
                <w:b w:val="0"/>
                <w:color w:val="33414F"/>
                <w:sz w:val="18"/>
              </w:rPr>
              <w:t xml:space="preserve">HR + Neetin</w:t>
            </w:r>
          </w:p>
        </w:tc>
        <w:tc>
          <w:tcPr>
            <w:tcW w:w="1400" w:type="dxa"/>
            <w:tcMar>
              <w:top w:w="45" w:type="dxa"/>
              <w:left w:w="85" w:type="dxa"/>
              <w:bottom w:w="45" w:type="dxa"/>
              <w:right w:w="85" w:type="dxa"/>
            </w:tcMar>
          </w:tcPr>
          <w:p>
            <w:pPr>
              <w:spacing w:after="0" w:before="0"/>
            </w:pPr>
            <w:r>
              <w:rPr>
                <w:b w:val="0"/>
                <w:color w:val="33414F"/>
                <w:sz w:val="18"/>
              </w:rPr>
              <w:t xml:space="preserve">Per event</w:t>
            </w:r>
          </w:p>
        </w:tc>
        <w:tc>
          <w:tcPr>
            <w:tcW w:w="1800" w:type="dxa"/>
            <w:tcMar>
              <w:top w:w="45" w:type="dxa"/>
              <w:left w:w="85" w:type="dxa"/>
              <w:bottom w:w="45" w:type="dxa"/>
              <w:right w:w="85" w:type="dxa"/>
            </w:tcMar>
          </w:tcPr>
          <w:p>
            <w:pPr>
              <w:spacing w:after="0" w:before="0"/>
            </w:pPr>
            <w:r>
              <w:rPr>
                <w:b w:val="0"/>
                <w:color w:val="33414F"/>
                <w:sz w:val="18"/>
              </w:rPr>
              <w:t xml:space="preserve">JML checklist, logged</w:t>
            </w:r>
          </w:p>
        </w:tc>
      </w:tr>
      <w:tr>
        <w:tc>
          <w:tcPr>
            <w:tcW w:w="1100" w:type="dxa"/>
            <w:tcMar>
              <w:top w:w="45" w:type="dxa"/>
              <w:left w:w="85" w:type="dxa"/>
              <w:bottom w:w="45" w:type="dxa"/>
              <w:right w:w="85" w:type="dxa"/>
            </w:tcMar>
          </w:tcPr>
          <w:p>
            <w:pPr>
              <w:spacing w:after="0" w:before="0"/>
            </w:pPr>
            <w:r>
              <w:rPr>
                <w:b w:val="0"/>
                <w:color w:val="33414F"/>
                <w:sz w:val="18"/>
              </w:rPr>
              <w:t xml:space="preserve">SOP-04</w:t>
            </w:r>
          </w:p>
        </w:tc>
        <w:tc>
          <w:tcPr>
            <w:tcW w:w="3000" w:type="dxa"/>
            <w:tcMar>
              <w:top w:w="45" w:type="dxa"/>
              <w:left w:w="85" w:type="dxa"/>
              <w:bottom w:w="45" w:type="dxa"/>
              <w:right w:w="85" w:type="dxa"/>
            </w:tcMar>
          </w:tcPr>
          <w:p>
            <w:pPr>
              <w:spacing w:after="0" w:before="0"/>
            </w:pPr>
            <w:r>
              <w:rPr>
                <w:b w:val="0"/>
                <w:color w:val="33414F"/>
                <w:sz w:val="18"/>
              </w:rPr>
              <w:t xml:space="preserve">Backup &amp; disaster recovery — schedule, restore tests, SPOF watch</w:t>
            </w:r>
          </w:p>
        </w:tc>
        <w:tc>
          <w:tcPr>
            <w:tcW w:w="1800" w:type="dxa"/>
            <w:tcMar>
              <w:top w:w="45" w:type="dxa"/>
              <w:left w:w="85" w:type="dxa"/>
              <w:bottom w:w="45" w:type="dxa"/>
              <w:right w:w="85" w:type="dxa"/>
            </w:tcMar>
          </w:tcPr>
          <w:p>
            <w:pPr>
              <w:spacing w:after="0" w:before="0"/>
            </w:pPr>
            <w:r>
              <w:rPr>
                <w:b w:val="0"/>
                <w:color w:val="33414F"/>
                <w:sz w:val="18"/>
              </w:rPr>
              <w:t xml:space="preserve">Ionity</w:t>
            </w:r>
          </w:p>
        </w:tc>
        <w:tc>
          <w:tcPr>
            <w:tcW w:w="1400" w:type="dxa"/>
            <w:tcMar>
              <w:top w:w="45" w:type="dxa"/>
              <w:left w:w="85" w:type="dxa"/>
              <w:bottom w:w="45" w:type="dxa"/>
              <w:right w:w="85" w:type="dxa"/>
            </w:tcMar>
          </w:tcPr>
          <w:p>
            <w:pPr>
              <w:spacing w:after="0" w:before="0"/>
            </w:pPr>
            <w:r>
              <w:rPr>
                <w:b w:val="0"/>
                <w:color w:val="33414F"/>
                <w:sz w:val="18"/>
              </w:rPr>
              <w:t xml:space="preserve">Monthly test</w:t>
            </w:r>
          </w:p>
        </w:tc>
        <w:tc>
          <w:tcPr>
            <w:tcW w:w="1800" w:type="dxa"/>
            <w:tcMar>
              <w:top w:w="45" w:type="dxa"/>
              <w:left w:w="85" w:type="dxa"/>
              <w:bottom w:w="45" w:type="dxa"/>
              <w:right w:w="85" w:type="dxa"/>
            </w:tcMar>
          </w:tcPr>
          <w:p>
            <w:pPr>
              <w:spacing w:after="0" w:before="0"/>
            </w:pPr>
            <w:r>
              <w:rPr>
                <w:b w:val="0"/>
                <w:color w:val="33414F"/>
                <w:sz w:val="18"/>
              </w:rPr>
              <w:t xml:space="preserve">Restore test log</w:t>
            </w:r>
          </w:p>
        </w:tc>
      </w:tr>
      <w:tr>
        <w:tc>
          <w:tcPr>
            <w:tcW w:w="1100" w:type="dxa"/>
            <w:tcMar>
              <w:top w:w="45" w:type="dxa"/>
              <w:left w:w="85" w:type="dxa"/>
              <w:bottom w:w="45" w:type="dxa"/>
              <w:right w:w="85" w:type="dxa"/>
            </w:tcMar>
          </w:tcPr>
          <w:p>
            <w:pPr>
              <w:spacing w:after="0" w:before="0"/>
            </w:pPr>
            <w:r>
              <w:rPr>
                <w:b w:val="0"/>
                <w:color w:val="33414F"/>
                <w:sz w:val="18"/>
              </w:rPr>
              <w:t xml:space="preserve">SOP-05</w:t>
            </w:r>
          </w:p>
        </w:tc>
        <w:tc>
          <w:tcPr>
            <w:tcW w:w="3000" w:type="dxa"/>
            <w:tcMar>
              <w:top w:w="45" w:type="dxa"/>
              <w:left w:w="85" w:type="dxa"/>
              <w:bottom w:w="45" w:type="dxa"/>
              <w:right w:w="85" w:type="dxa"/>
            </w:tcMar>
          </w:tcPr>
          <w:p>
            <w:pPr>
              <w:spacing w:after="0" w:before="0"/>
            </w:pPr>
            <w:r>
              <w:rPr>
                <w:b w:val="0"/>
                <w:color w:val="33414F"/>
                <w:sz w:val="18"/>
              </w:rPr>
              <w:t xml:space="preserve">Security awareness — phishing training, tracked by system</w:t>
            </w:r>
          </w:p>
        </w:tc>
        <w:tc>
          <w:tcPr>
            <w:tcW w:w="1800" w:type="dxa"/>
            <w:tcMar>
              <w:top w:w="45" w:type="dxa"/>
              <w:left w:w="85" w:type="dxa"/>
              <w:bottom w:w="45" w:type="dxa"/>
              <w:right w:w="85" w:type="dxa"/>
            </w:tcMar>
          </w:tcPr>
          <w:p>
            <w:pPr>
              <w:spacing w:after="0" w:before="0"/>
            </w:pPr>
            <w:r>
              <w:rPr>
                <w:b w:val="0"/>
                <w:color w:val="33414F"/>
                <w:sz w:val="18"/>
              </w:rPr>
              <w:t xml:space="preserve">Neetin</w:t>
            </w:r>
          </w:p>
        </w:tc>
        <w:tc>
          <w:tcPr>
            <w:tcW w:w="1400" w:type="dxa"/>
            <w:tcMar>
              <w:top w:w="45" w:type="dxa"/>
              <w:left w:w="85" w:type="dxa"/>
              <w:bottom w:w="45" w:type="dxa"/>
              <w:right w:w="85" w:type="dxa"/>
            </w:tcMar>
          </w:tcPr>
          <w:p>
            <w:pPr>
              <w:spacing w:after="0" w:before="0"/>
            </w:pPr>
            <w:r>
              <w:rPr>
                <w:b w:val="0"/>
                <w:color w:val="33414F"/>
                <w:sz w:val="18"/>
              </w:rPr>
              <w:t xml:space="preserve">Quarterly</w:t>
            </w:r>
          </w:p>
        </w:tc>
        <w:tc>
          <w:tcPr>
            <w:tcW w:w="1800" w:type="dxa"/>
            <w:tcMar>
              <w:top w:w="45" w:type="dxa"/>
              <w:left w:w="85" w:type="dxa"/>
              <w:bottom w:w="45" w:type="dxa"/>
              <w:right w:w="85" w:type="dxa"/>
            </w:tcMar>
          </w:tcPr>
          <w:p>
            <w:pPr>
              <w:spacing w:after="0" w:before="0"/>
            </w:pPr>
            <w:r>
              <w:rPr>
                <w:b w:val="0"/>
                <w:color w:val="33414F"/>
                <w:sz w:val="18"/>
              </w:rPr>
              <w:t xml:space="preserve">Training log per staff</w:t>
            </w:r>
          </w:p>
        </w:tc>
      </w:tr>
      <w:tr>
        <w:tc>
          <w:tcPr>
            <w:tcW w:w="1100" w:type="dxa"/>
            <w:tcMar>
              <w:top w:w="45" w:type="dxa"/>
              <w:left w:w="85" w:type="dxa"/>
              <w:bottom w:w="45" w:type="dxa"/>
              <w:right w:w="85" w:type="dxa"/>
            </w:tcMar>
          </w:tcPr>
          <w:p>
            <w:pPr>
              <w:spacing w:after="0" w:before="0"/>
            </w:pPr>
            <w:r>
              <w:rPr>
                <w:b w:val="0"/>
                <w:color w:val="33414F"/>
                <w:sz w:val="18"/>
              </w:rPr>
              <w:t xml:space="preserve">SOP-06</w:t>
            </w:r>
          </w:p>
        </w:tc>
        <w:tc>
          <w:tcPr>
            <w:tcW w:w="3000" w:type="dxa"/>
            <w:tcMar>
              <w:top w:w="45" w:type="dxa"/>
              <w:left w:w="85" w:type="dxa"/>
              <w:bottom w:w="45" w:type="dxa"/>
              <w:right w:w="85" w:type="dxa"/>
            </w:tcMar>
          </w:tcPr>
          <w:p>
            <w:pPr>
              <w:spacing w:after="0" w:before="0"/>
            </w:pPr>
            <w:r>
              <w:rPr>
                <w:b w:val="0"/>
                <w:color w:val="33414F"/>
                <w:sz w:val="18"/>
              </w:rPr>
              <w:t xml:space="preserve">Weekly IA·MCP compliance audit — run, review, flag, assign</w:t>
            </w:r>
          </w:p>
        </w:tc>
        <w:tc>
          <w:tcPr>
            <w:tcW w:w="1800" w:type="dxa"/>
            <w:tcMar>
              <w:top w:w="45" w:type="dxa"/>
              <w:left w:w="85" w:type="dxa"/>
              <w:bottom w:w="45" w:type="dxa"/>
              <w:right w:w="85" w:type="dxa"/>
            </w:tcMar>
          </w:tcPr>
          <w:p>
            <w:pPr>
              <w:spacing w:after="0" w:before="0"/>
            </w:pPr>
            <w:r>
              <w:rPr>
                <w:b w:val="0"/>
                <w:color w:val="33414F"/>
                <w:sz w:val="18"/>
              </w:rPr>
              <w:t xml:space="preserve">Neetin (review)</w:t>
            </w:r>
          </w:p>
        </w:tc>
        <w:tc>
          <w:tcPr>
            <w:tcW w:w="1400" w:type="dxa"/>
            <w:tcMar>
              <w:top w:w="45" w:type="dxa"/>
              <w:left w:w="85" w:type="dxa"/>
              <w:bottom w:w="45" w:type="dxa"/>
              <w:right w:w="85" w:type="dxa"/>
            </w:tcMar>
          </w:tcPr>
          <w:p>
            <w:pPr>
              <w:spacing w:after="0" w:before="0"/>
            </w:pPr>
            <w:r>
              <w:rPr>
                <w:b w:val="0"/>
                <w:color w:val="33414F"/>
                <w:sz w:val="18"/>
              </w:rPr>
              <w:t xml:space="preserve">Weekly</w:t>
            </w:r>
          </w:p>
        </w:tc>
        <w:tc>
          <w:tcPr>
            <w:tcW w:w="1800" w:type="dxa"/>
            <w:tcMar>
              <w:top w:w="45" w:type="dxa"/>
              <w:left w:w="85" w:type="dxa"/>
              <w:bottom w:w="45" w:type="dxa"/>
              <w:right w:w="85" w:type="dxa"/>
            </w:tcMar>
          </w:tcPr>
          <w:p>
            <w:pPr>
              <w:spacing w:after="0" w:before="0"/>
            </w:pPr>
            <w:r>
              <w:rPr>
                <w:b w:val="0"/>
                <w:color w:val="33414F"/>
                <w:sz w:val="18"/>
              </w:rPr>
              <w:t xml:space="preserve">IA·MCP report archive</w:t>
            </w:r>
          </w:p>
        </w:tc>
      </w:tr>
      <w:tr>
        <w:tc>
          <w:tcPr>
            <w:tcW w:w="1100" w:type="dxa"/>
            <w:tcMar>
              <w:top w:w="45" w:type="dxa"/>
              <w:left w:w="85" w:type="dxa"/>
              <w:bottom w:w="45" w:type="dxa"/>
              <w:right w:w="85" w:type="dxa"/>
            </w:tcMar>
          </w:tcPr>
          <w:p>
            <w:pPr>
              <w:spacing w:after="0" w:before="0"/>
            </w:pPr>
            <w:r>
              <w:rPr>
                <w:b w:val="0"/>
                <w:color w:val="33414F"/>
                <w:sz w:val="18"/>
              </w:rPr>
              <w:t xml:space="preserve">SOP-07</w:t>
            </w:r>
          </w:p>
        </w:tc>
        <w:tc>
          <w:tcPr>
            <w:tcW w:w="3000" w:type="dxa"/>
            <w:tcMar>
              <w:top w:w="45" w:type="dxa"/>
              <w:left w:w="85" w:type="dxa"/>
              <w:bottom w:w="45" w:type="dxa"/>
              <w:right w:w="85" w:type="dxa"/>
            </w:tcMar>
          </w:tcPr>
          <w:p>
            <w:pPr>
              <w:spacing w:after="0" w:before="0"/>
            </w:pPr>
            <w:r>
              <w:rPr>
                <w:b w:val="0"/>
                <w:color w:val="33414F"/>
                <w:sz w:val="18"/>
              </w:rPr>
              <w:t xml:space="preserve">Vendor &amp; procurement — integrate-or-replace rule; contract/notice register</w:t>
            </w:r>
          </w:p>
        </w:tc>
        <w:tc>
          <w:tcPr>
            <w:tcW w:w="1800" w:type="dxa"/>
            <w:tcMar>
              <w:top w:w="45" w:type="dxa"/>
              <w:left w:w="85" w:type="dxa"/>
              <w:bottom w:w="45" w:type="dxa"/>
              <w:right w:w="85" w:type="dxa"/>
            </w:tcMar>
          </w:tcPr>
          <w:p>
            <w:pPr>
              <w:spacing w:after="0" w:before="0"/>
            </w:pPr>
            <w:r>
              <w:rPr>
                <w:b w:val="0"/>
                <w:color w:val="33414F"/>
                <w:sz w:val="18"/>
              </w:rPr>
              <w:t xml:space="preserve">Angela</w:t>
            </w:r>
          </w:p>
        </w:tc>
        <w:tc>
          <w:tcPr>
            <w:tcW w:w="1400" w:type="dxa"/>
            <w:tcMar>
              <w:top w:w="45" w:type="dxa"/>
              <w:left w:w="85" w:type="dxa"/>
              <w:bottom w:w="45" w:type="dxa"/>
              <w:right w:w="85" w:type="dxa"/>
            </w:tcMar>
          </w:tcPr>
          <w:p>
            <w:pPr>
              <w:spacing w:after="0" w:before="0"/>
            </w:pPr>
            <w:r>
              <w:rPr>
                <w:b w:val="0"/>
                <w:color w:val="33414F"/>
                <w:sz w:val="18"/>
              </w:rPr>
              <w:t xml:space="preserve">Per vendor</w:t>
            </w:r>
          </w:p>
        </w:tc>
        <w:tc>
          <w:tcPr>
            <w:tcW w:w="1800" w:type="dxa"/>
            <w:tcMar>
              <w:top w:w="45" w:type="dxa"/>
              <w:left w:w="85" w:type="dxa"/>
              <w:bottom w:w="45" w:type="dxa"/>
              <w:right w:w="85" w:type="dxa"/>
            </w:tcMar>
          </w:tcPr>
          <w:p>
            <w:pPr>
              <w:spacing w:after="0" w:before="0"/>
            </w:pPr>
            <w:r>
              <w:rPr>
                <w:b w:val="0"/>
                <w:color w:val="33414F"/>
                <w:sz w:val="18"/>
              </w:rPr>
              <w:t xml:space="preserve">Vendor register</w:t>
            </w:r>
          </w:p>
        </w:tc>
      </w:tr>
      <w:tr>
        <w:tc>
          <w:tcPr>
            <w:tcW w:w="1100" w:type="dxa"/>
            <w:tcMar>
              <w:top w:w="45" w:type="dxa"/>
              <w:left w:w="85" w:type="dxa"/>
              <w:bottom w:w="45" w:type="dxa"/>
              <w:right w:w="85" w:type="dxa"/>
            </w:tcMar>
          </w:tcPr>
          <w:p>
            <w:pPr>
              <w:spacing w:after="0" w:before="0"/>
            </w:pPr>
            <w:r>
              <w:rPr>
                <w:b w:val="0"/>
                <w:color w:val="33414F"/>
                <w:sz w:val="18"/>
              </w:rPr>
              <w:t xml:space="preserve">SOP-08</w:t>
            </w:r>
          </w:p>
        </w:tc>
        <w:tc>
          <w:tcPr>
            <w:tcW w:w="3000" w:type="dxa"/>
            <w:tcMar>
              <w:top w:w="45" w:type="dxa"/>
              <w:left w:w="85" w:type="dxa"/>
              <w:bottom w:w="45" w:type="dxa"/>
              <w:right w:w="85" w:type="dxa"/>
            </w:tcMar>
          </w:tcPr>
          <w:p>
            <w:pPr>
              <w:spacing w:after="0" w:before="0"/>
            </w:pPr>
            <w:r>
              <w:rPr>
                <w:b w:val="0"/>
                <w:color w:val="33414F"/>
                <w:sz w:val="18"/>
              </w:rPr>
              <w:t xml:space="preserve">Data protection &amp; POPIA — residency checks, special-PI handling, breach response</w:t>
            </w:r>
          </w:p>
        </w:tc>
        <w:tc>
          <w:tcPr>
            <w:tcW w:w="1800" w:type="dxa"/>
            <w:tcMar>
              <w:top w:w="45" w:type="dxa"/>
              <w:left w:w="85" w:type="dxa"/>
              <w:bottom w:w="45" w:type="dxa"/>
              <w:right w:w="85" w:type="dxa"/>
            </w:tcMar>
          </w:tcPr>
          <w:p>
            <w:pPr>
              <w:spacing w:after="0" w:before="0"/>
            </w:pPr>
            <w:r>
              <w:rPr>
                <w:b w:val="0"/>
                <w:color w:val="33414F"/>
                <w:sz w:val="18"/>
              </w:rPr>
              <w:t xml:space="preserve">Ionity + Neetin</w:t>
            </w:r>
          </w:p>
        </w:tc>
        <w:tc>
          <w:tcPr>
            <w:tcW w:w="1400" w:type="dxa"/>
            <w:tcMar>
              <w:top w:w="45" w:type="dxa"/>
              <w:left w:w="85" w:type="dxa"/>
              <w:bottom w:w="45" w:type="dxa"/>
              <w:right w:w="85" w:type="dxa"/>
            </w:tcMar>
          </w:tcPr>
          <w:p>
            <w:pPr>
              <w:spacing w:after="0" w:before="0"/>
            </w:pPr>
            <w:r>
              <w:rPr>
                <w:b w:val="0"/>
                <w:color w:val="33414F"/>
                <w:sz w:val="18"/>
              </w:rPr>
              <w:t xml:space="preserve">Continuous</w:t>
            </w:r>
          </w:p>
        </w:tc>
        <w:tc>
          <w:tcPr>
            <w:tcW w:w="1800" w:type="dxa"/>
            <w:tcMar>
              <w:top w:w="45" w:type="dxa"/>
              <w:left w:w="85" w:type="dxa"/>
              <w:bottom w:w="45" w:type="dxa"/>
              <w:right w:w="85" w:type="dxa"/>
            </w:tcMar>
          </w:tcPr>
          <w:p>
            <w:pPr>
              <w:spacing w:after="0" w:before="0"/>
            </w:pPr>
            <w:r>
              <w:rPr>
                <w:b w:val="0"/>
                <w:color w:val="33414F"/>
                <w:sz w:val="18"/>
              </w:rPr>
              <w:t xml:space="preserve">Purview + register</w:t>
            </w:r>
          </w:p>
        </w:tc>
      </w:tr>
      <w:tr>
        <w:tc>
          <w:tcPr>
            <w:tcW w:w="1100" w:type="dxa"/>
            <w:tcMar>
              <w:top w:w="45" w:type="dxa"/>
              <w:left w:w="85" w:type="dxa"/>
              <w:bottom w:w="45" w:type="dxa"/>
              <w:right w:w="85" w:type="dxa"/>
            </w:tcMar>
          </w:tcPr>
          <w:p>
            <w:pPr>
              <w:spacing w:after="0" w:before="0"/>
            </w:pPr>
            <w:r>
              <w:rPr>
                <w:b w:val="0"/>
                <w:color w:val="33414F"/>
                <w:sz w:val="18"/>
              </w:rPr>
              <w:t xml:space="preserve">SOP-09</w:t>
            </w:r>
          </w:p>
        </w:tc>
        <w:tc>
          <w:tcPr>
            <w:tcW w:w="3000" w:type="dxa"/>
            <w:tcMar>
              <w:top w:w="45" w:type="dxa"/>
              <w:left w:w="85" w:type="dxa"/>
              <w:bottom w:w="45" w:type="dxa"/>
              <w:right w:w="85" w:type="dxa"/>
            </w:tcMar>
          </w:tcPr>
          <w:p>
            <w:pPr>
              <w:spacing w:after="0" w:before="0"/>
            </w:pPr>
            <w:r>
              <w:rPr>
                <w:b w:val="0"/>
                <w:color w:val="33414F"/>
                <w:sz w:val="18"/>
              </w:rPr>
              <w:t xml:space="preserve">AI use &amp; tooling — per the AI Governance Pack (Parts A–J): approval, risk tiering, incident response</w:t>
            </w:r>
          </w:p>
        </w:tc>
        <w:tc>
          <w:tcPr>
            <w:tcW w:w="1800" w:type="dxa"/>
            <w:tcMar>
              <w:top w:w="45" w:type="dxa"/>
              <w:left w:w="85" w:type="dxa"/>
              <w:bottom w:w="45" w:type="dxa"/>
              <w:right w:w="85" w:type="dxa"/>
            </w:tcMar>
          </w:tcPr>
          <w:p>
            <w:pPr>
              <w:spacing w:after="0" w:before="0"/>
            </w:pPr>
            <w:r>
              <w:rPr>
                <w:b w:val="0"/>
                <w:color w:val="33414F"/>
                <w:sz w:val="18"/>
              </w:rPr>
              <w:t xml:space="preserve">Neetin + Gov</w:t>
            </w:r>
          </w:p>
        </w:tc>
        <w:tc>
          <w:tcPr>
            <w:tcW w:w="1400" w:type="dxa"/>
            <w:tcMar>
              <w:top w:w="45" w:type="dxa"/>
              <w:left w:w="85" w:type="dxa"/>
              <w:bottom w:w="45" w:type="dxa"/>
              <w:right w:w="85" w:type="dxa"/>
            </w:tcMar>
          </w:tcPr>
          <w:p>
            <w:pPr>
              <w:spacing w:after="0" w:before="0"/>
            </w:pPr>
            <w:r>
              <w:rPr>
                <w:b w:val="0"/>
                <w:color w:val="33414F"/>
                <w:sz w:val="18"/>
              </w:rPr>
              <w:t xml:space="preserve">Per use-case</w:t>
            </w:r>
          </w:p>
        </w:tc>
        <w:tc>
          <w:tcPr>
            <w:tcW w:w="1800" w:type="dxa"/>
            <w:tcMar>
              <w:top w:w="45" w:type="dxa"/>
              <w:left w:w="85" w:type="dxa"/>
              <w:bottom w:w="45" w:type="dxa"/>
              <w:right w:w="85" w:type="dxa"/>
            </w:tcMar>
          </w:tcPr>
          <w:p>
            <w:pPr>
              <w:spacing w:after="0" w:before="0"/>
            </w:pPr>
            <w:r>
              <w:rPr>
                <w:b w:val="0"/>
                <w:color w:val="33414F"/>
                <w:sz w:val="18"/>
              </w:rPr>
              <w:t xml:space="preserve">Tool register + declarations</w:t>
            </w:r>
          </w:p>
        </w:tc>
      </w:tr>
    </w:tbl>
    <w:p>
      <w:pPr>
        <w:spacing w:after="80"/>
      </w:pP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12.2 Worked procedure — change management (SOP-01)</w:t>
      </w:r>
    </w:p>
    <w:p>
      <w:pPr>
        <w:spacing w:after="80"/>
        <w:ind w:left="360"/>
      </w:pPr>
      <w:r>
        <w:rPr>
          <w:rtl w:val="0"/>
          <w:b/>
          <w:color w:val="0D2137"/>
        </w:rPr>
        <w:t xml:space="preserve">1. Intake: </w:t>
      </w:r>
      <w:r>
        <w:rPr>
          <w:rtl w:val="0"/>
        </w:rPr>
        <w:t xml:space="preserve">changes enter via the SPOCs (SHOUT-IT-NOW: Neetin Daya; Ionity: Johan van Antwerp). No side-channel work.</w:t>
      </w:r>
    </w:p>
    <w:p>
      <w:pPr>
        <w:spacing w:after="80"/>
        <w:ind w:left="360"/>
      </w:pPr>
      <w:r>
        <w:rPr>
          <w:rtl w:val="0"/>
          <w:b/>
          <w:color w:val="0D2137"/>
        </w:rPr>
        <w:t xml:space="preserve">2. Assess: </w:t>
      </w:r>
      <w:r>
        <w:rPr>
          <w:rtl w:val="0"/>
        </w:rPr>
        <w:t xml:space="preserve">classify against the F-register and AI risk tiers; screen POPIA/special-PI impact; scope/fee/timeline changes become written change requests.</w:t>
      </w:r>
    </w:p>
    <w:p>
      <w:pPr>
        <w:spacing w:after="80"/>
        <w:ind w:left="360"/>
      </w:pPr>
      <w:r>
        <w:rPr>
          <w:rtl w:val="0"/>
          <w:b/>
          <w:color w:val="0D2137"/>
        </w:rPr>
        <w:t xml:space="preserve">3. Approve: </w:t>
      </w:r>
      <w:r>
        <w:rPr>
          <w:rtl w:val="0"/>
        </w:rPr>
        <w:t xml:space="preserve">written sign-off by both parties before work — per the quotation change-control clause.</w:t>
      </w:r>
    </w:p>
    <w:p>
      <w:pPr>
        <w:spacing w:after="80"/>
        <w:ind w:left="360"/>
      </w:pPr>
      <w:r>
        <w:rPr>
          <w:rtl w:val="0"/>
          <w:b/>
          <w:color w:val="0D2137"/>
        </w:rPr>
        <w:t xml:space="preserve">4. Implement: </w:t>
      </w:r>
      <w:r>
        <w:rPr>
          <w:rtl w:val="0"/>
        </w:rPr>
        <w:t xml:space="preserve">agile sprint; build-first with rollback; live programmes (MojaMind) protected.</w:t>
      </w:r>
    </w:p>
    <w:p>
      <w:pPr>
        <w:spacing w:after="80"/>
        <w:ind w:left="360"/>
      </w:pPr>
      <w:r>
        <w:rPr>
          <w:rtl w:val="0"/>
          <w:b/>
          <w:color w:val="0D2137"/>
        </w:rPr>
        <w:t xml:space="preserve">5. Log: </w:t>
      </w:r>
      <w:r>
        <w:rPr>
          <w:rtl w:val="0"/>
        </w:rPr>
        <w:t xml:space="preserve">record what, who, when, why, evidence of mitigation.</w:t>
      </w:r>
    </w:p>
    <w:p>
      <w:pPr>
        <w:spacing w:after="80"/>
        <w:ind w:left="360"/>
      </w:pPr>
      <w:r>
        <w:rPr>
          <w:rtl w:val="0"/>
          <w:b/>
          <w:color w:val="0D2137"/>
        </w:rPr>
        <w:t xml:space="preserve">6. Audit: </w:t>
      </w:r>
      <w:r>
        <w:rPr>
          <w:rtl w:val="0"/>
        </w:rPr>
        <w:t xml:space="preserve">weekly IA·MCP run re-scores the estate against the register, frameworks and POPIA lens.</w:t>
      </w:r>
    </w:p>
    <w:p>
      <w:pPr>
        <w:spacing w:after="80"/>
        <w:ind w:left="360"/>
      </w:pPr>
      <w:r>
        <w:rPr>
          <w:rtl w:val="0"/>
          <w:b/>
          <w:color w:val="0D2137"/>
        </w:rPr>
        <w:t xml:space="preserve">7. Report: </w:t>
      </w:r>
      <w:r>
        <w:rPr>
          <w:rtl w:val="0"/>
        </w:rPr>
        <w:t xml:space="preserve">exceptions to Exco monthly; posture pack to Board/FARC per cycle (King IV accountability).</w:t>
      </w:r>
    </w:p>
    <w:p>
      <w:pPr>
        <w:spacing w:after="80"/>
        <w:ind w:left="360"/>
      </w:pPr>
      <w:r>
        <w:rPr>
          <w:rtl w:val="0"/>
          <w:b/>
          <w:color w:val="0D2137"/>
        </w:rPr>
        <w:t xml:space="preserve">8. Learn: </w:t>
      </w:r>
      <w:r>
        <w:rPr>
          <w:rtl w:val="0"/>
        </w:rPr>
        <w:t xml:space="preserve">update SOPs and the F-register; recurring exceptions become roadmap items — and, under DOME, routing rules.</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13. IA·MCP v1.7.0 — Forensic Audit Engine</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Ionity’s IA·MCP forensic engine (v1.7.0, ~90% productised at the audit review) ran the Phase-1 scans and is provided as an included service at no subscription cost; only incremental version updates driven by changing compliance requirements may be charged. It exists so SHOUT-IT-NOW can audit itself — with or without Ionity.</w:t>
      </w:r>
    </w:p>
    <w:p>
      <w:pPr>
        <w:spacing w:after="80"/>
        <w:ind w:left="360"/>
      </w:pPr>
      <w:r>
        <w:rPr>
          <w:rtl w:val="0"/>
          <w:b/>
          <w:color w:val="0D2137"/>
        </w:rPr>
        <w:t xml:space="preserve">Capabilities: </w:t>
      </w:r>
      <w:r>
        <w:rPr>
          <w:rtl w:val="0"/>
        </w:rPr>
        <w:t xml:space="preserve">20 forensic tools; connects to AWS and Azure with read-only keys and pulls logs, configuration and account data in one run; scores posture against CIS v8, ISO 27001, SOC 2, NIST 800-53 and POPIA (baseline: 33.7 / 49.1 — Grade F "Initial"); maps results to the findings register with POPIA flags; weekly scheduled runs.</w:t>
      </w:r>
    </w:p>
    <w:p>
      <w:pPr>
        <w:spacing w:after="80"/>
        <w:ind w:left="360"/>
      </w:pPr>
      <w:r>
        <w:rPr>
          <w:rtl w:val="0"/>
          <w:b/>
          <w:color w:val="0D2137"/>
        </w:rPr>
        <w:t xml:space="preserve">Requirements: </w:t>
      </w:r>
      <w:r>
        <w:rPr>
          <w:rtl w:val="0"/>
        </w:rPr>
        <w:t xml:space="preserve">read-only keys/scopes per environment; named reviewer (Neetin) on the SOP-06 cadence; report archive retained; escalation for red findings; re-baseline after each workstream gate — target is a visible climb out of Grade F, re-scored weekly.</w:t>
      </w:r>
    </w:p>
    <w:p>
      <w:pPr>
        <w:spacing w:after="80"/>
        <w:ind w:left="360"/>
      </w:pPr>
      <w:r>
        <w:rPr>
          <w:rtl w:val="0"/>
          <w:b/>
          <w:color w:val="0D2137"/>
        </w:rPr>
        <w:t xml:space="preserve">Boundaries: </w:t>
      </w:r>
      <w:r>
        <w:rPr>
          <w:rtl w:val="0"/>
        </w:rPr>
        <w:t xml:space="preserve">IA·MCP evidences and flags — it does not change systems. Remediation flows through SOP-01 with human approval, consistent with the "no solely automated high-impact decisions" rule in the AI Governance Pack.</w:t>
      </w:r>
    </w:p>
    <w:p>
      <w:r>
        <w:br w:type="page"/>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14. AI Governance &amp; Compliance Alignment</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SHOUT-IT-NOW already owns the policy backbone: the AI Governance Pack (2026 S^F1, drafted by Neetin Daya with Ionity regulatory context; legal review Daniel Botha; governance review Lilian Monji; final approval Dr Ntombifikile Mtshali, CEO). This IR adopts it wholesale as SOP-09 and aligns every AI element — Chomi, the "Thabo" agent, Self Cav/AIMEE, copilots, workflow automations and DOME itself — to its structure.</w:t>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600"/>
        <w:gridCol w:w="6200"/>
      </w:tblGrid>
      <w:tr>
        <w:tc>
          <w:tcPr>
            <w:tcW w:w="2600" w:type="dxa"/>
            <w:shd w:val="clear" w:color="auto" w:fill="0D2137"/>
            <w:tcMar>
              <w:top w:w="45" w:type="dxa"/>
              <w:left w:w="85" w:type="dxa"/>
              <w:bottom w:w="45" w:type="dxa"/>
              <w:right w:w="85" w:type="dxa"/>
            </w:tcMar>
          </w:tcPr>
          <w:p>
            <w:pPr>
              <w:spacing w:after="0" w:before="0"/>
            </w:pPr>
            <w:r>
              <w:rPr>
                <w:b/>
                <w:color w:val="FFFFFF"/>
                <w:sz w:val="18"/>
              </w:rPr>
              <w:t xml:space="preserve">Pack element</w:t>
            </w:r>
          </w:p>
        </w:tc>
        <w:tc>
          <w:tcPr>
            <w:tcW w:w="6200" w:type="dxa"/>
            <w:shd w:val="clear" w:color="auto" w:fill="0D2137"/>
            <w:tcMar>
              <w:top w:w="45" w:type="dxa"/>
              <w:left w:w="85" w:type="dxa"/>
              <w:bottom w:w="45" w:type="dxa"/>
              <w:right w:w="85" w:type="dxa"/>
            </w:tcMar>
          </w:tcPr>
          <w:p>
            <w:pPr>
              <w:spacing w:after="0" w:before="0"/>
            </w:pPr>
            <w:r>
              <w:rPr>
                <w:b/>
                <w:color w:val="FFFFFF"/>
                <w:sz w:val="18"/>
              </w:rPr>
              <w:t xml:space="preserve">Roadmap alignment</w:t>
            </w:r>
          </w:p>
        </w:tc>
      </w:tr>
      <w:tr>
        <w:tc>
          <w:tcPr>
            <w:tcW w:w="2600" w:type="dxa"/>
            <w:tcMar>
              <w:top w:w="45" w:type="dxa"/>
              <w:left w:w="85" w:type="dxa"/>
              <w:bottom w:w="45" w:type="dxa"/>
              <w:right w:w="85" w:type="dxa"/>
            </w:tcMar>
          </w:tcPr>
          <w:p>
            <w:pPr>
              <w:spacing w:after="0" w:before="0"/>
            </w:pPr>
            <w:r>
              <w:rPr>
                <w:b w:val="0"/>
                <w:color w:val="33414F"/>
                <w:sz w:val="18"/>
              </w:rPr>
              <w:t xml:space="preserve">Part A — AI Governance Policy</w:t>
            </w:r>
          </w:p>
        </w:tc>
        <w:tc>
          <w:tcPr>
            <w:tcW w:w="6200" w:type="dxa"/>
            <w:tcMar>
              <w:top w:w="45" w:type="dxa"/>
              <w:left w:w="85" w:type="dxa"/>
              <w:bottom w:w="45" w:type="dxa"/>
              <w:right w:w="85" w:type="dxa"/>
            </w:tcMar>
          </w:tcPr>
          <w:p>
            <w:pPr>
              <w:spacing w:after="0" w:before="0"/>
            </w:pPr>
            <w:r>
              <w:rPr>
                <w:b w:val="0"/>
                <w:color w:val="33414F"/>
                <w:sz w:val="18"/>
              </w:rPr>
              <w:t xml:space="preserve">Adopted as policy layer above SOP-09; review cycle mirrors board reporting</w:t>
            </w:r>
          </w:p>
        </w:tc>
      </w:tr>
      <w:tr>
        <w:tc>
          <w:tcPr>
            <w:tcW w:w="2600" w:type="dxa"/>
            <w:tcMar>
              <w:top w:w="45" w:type="dxa"/>
              <w:left w:w="85" w:type="dxa"/>
              <w:bottom w:w="45" w:type="dxa"/>
              <w:right w:w="85" w:type="dxa"/>
            </w:tcMar>
          </w:tcPr>
          <w:p>
            <w:pPr>
              <w:spacing w:after="0" w:before="0"/>
            </w:pPr>
            <w:r>
              <w:rPr>
                <w:b w:val="0"/>
                <w:color w:val="33414F"/>
                <w:sz w:val="18"/>
              </w:rPr>
              <w:t xml:space="preserve">Part B — Acceptable Use Standard</w:t>
            </w:r>
          </w:p>
        </w:tc>
        <w:tc>
          <w:tcPr>
            <w:tcW w:w="6200" w:type="dxa"/>
            <w:tcMar>
              <w:top w:w="45" w:type="dxa"/>
              <w:left w:w="85" w:type="dxa"/>
              <w:bottom w:w="45" w:type="dxa"/>
              <w:right w:w="85" w:type="dxa"/>
            </w:tcMar>
          </w:tcPr>
          <w:p>
            <w:pPr>
              <w:spacing w:after="0" w:before="0"/>
            </w:pPr>
            <w:r>
              <w:rPr>
                <w:b w:val="0"/>
                <w:color w:val="33414F"/>
                <w:sz w:val="18"/>
              </w:rPr>
              <w:t xml:space="preserve">Five core user rules + prompt hygiene → staff training (SOP-05)</w:t>
            </w:r>
          </w:p>
        </w:tc>
      </w:tr>
      <w:tr>
        <w:tc>
          <w:tcPr>
            <w:tcW w:w="2600" w:type="dxa"/>
            <w:tcMar>
              <w:top w:w="45" w:type="dxa"/>
              <w:left w:w="85" w:type="dxa"/>
              <w:bottom w:w="45" w:type="dxa"/>
              <w:right w:w="85" w:type="dxa"/>
            </w:tcMar>
          </w:tcPr>
          <w:p>
            <w:pPr>
              <w:spacing w:after="0" w:before="0"/>
            </w:pPr>
            <w:r>
              <w:rPr>
                <w:b w:val="0"/>
                <w:color w:val="33414F"/>
                <w:sz w:val="18"/>
              </w:rPr>
              <w:t xml:space="preserve">Part C — Tool &amp; Use-Case Approval</w:t>
            </w:r>
          </w:p>
        </w:tc>
        <w:tc>
          <w:tcPr>
            <w:tcW w:w="6200" w:type="dxa"/>
            <w:tcMar>
              <w:top w:w="45" w:type="dxa"/>
              <w:left w:w="85" w:type="dxa"/>
              <w:bottom w:w="45" w:type="dxa"/>
              <w:right w:w="85" w:type="dxa"/>
            </w:tcMar>
          </w:tcPr>
          <w:p>
            <w:pPr>
              <w:spacing w:after="0" w:before="0"/>
            </w:pPr>
            <w:r>
              <w:rPr>
                <w:b w:val="0"/>
                <w:color w:val="33414F"/>
                <w:sz w:val="18"/>
              </w:rPr>
              <w:t xml:space="preserve">Every new AI tool/agent (incl. Thabo, Chomi v2) passes intake before build</w:t>
            </w:r>
          </w:p>
        </w:tc>
      </w:tr>
      <w:tr>
        <w:tc>
          <w:tcPr>
            <w:tcW w:w="2600" w:type="dxa"/>
            <w:tcMar>
              <w:top w:w="45" w:type="dxa"/>
              <w:left w:w="85" w:type="dxa"/>
              <w:bottom w:w="45" w:type="dxa"/>
              <w:right w:w="85" w:type="dxa"/>
            </w:tcMar>
          </w:tcPr>
          <w:p>
            <w:pPr>
              <w:spacing w:after="0" w:before="0"/>
            </w:pPr>
            <w:r>
              <w:rPr>
                <w:b w:val="0"/>
                <w:color w:val="33414F"/>
                <w:sz w:val="18"/>
              </w:rPr>
              <w:t xml:space="preserve">Part D — Risk Classification Matrix</w:t>
            </w:r>
          </w:p>
        </w:tc>
        <w:tc>
          <w:tcPr>
            <w:tcW w:w="6200" w:type="dxa"/>
            <w:tcMar>
              <w:top w:w="45" w:type="dxa"/>
              <w:left w:w="85" w:type="dxa"/>
              <w:bottom w:w="45" w:type="dxa"/>
              <w:right w:w="85" w:type="dxa"/>
            </w:tcMar>
          </w:tcPr>
          <w:p>
            <w:pPr>
              <w:spacing w:after="0" w:before="0"/>
            </w:pPr>
            <w:r>
              <w:rPr>
                <w:b w:val="0"/>
                <w:color w:val="33414F"/>
                <w:sz w:val="18"/>
              </w:rPr>
              <w:t xml:space="preserve">Four tiers (Low / Medium / High-Impact / Prohibited) applied at SOP-01 assessment</w:t>
            </w:r>
          </w:p>
        </w:tc>
      </w:tr>
      <w:tr>
        <w:tc>
          <w:tcPr>
            <w:tcW w:w="2600" w:type="dxa"/>
            <w:tcMar>
              <w:top w:w="45" w:type="dxa"/>
              <w:left w:w="85" w:type="dxa"/>
              <w:bottom w:w="45" w:type="dxa"/>
              <w:right w:w="85" w:type="dxa"/>
            </w:tcMar>
          </w:tcPr>
          <w:p>
            <w:pPr>
              <w:spacing w:after="0" w:before="0"/>
            </w:pPr>
            <w:r>
              <w:rPr>
                <w:b w:val="0"/>
                <w:color w:val="33414F"/>
                <w:sz w:val="18"/>
              </w:rPr>
              <w:t xml:space="preserve">Part E — High-Impact Control Standard</w:t>
            </w:r>
          </w:p>
        </w:tc>
        <w:tc>
          <w:tcPr>
            <w:tcW w:w="6200" w:type="dxa"/>
            <w:tcMar>
              <w:top w:w="45" w:type="dxa"/>
              <w:left w:w="85" w:type="dxa"/>
              <w:bottom w:w="45" w:type="dxa"/>
              <w:right w:w="85" w:type="dxa"/>
            </w:tcMar>
          </w:tcPr>
          <w:p>
            <w:pPr>
              <w:spacing w:after="0" w:before="0"/>
            </w:pPr>
            <w:r>
              <w:rPr>
                <w:b w:val="0"/>
                <w:color w:val="33414F"/>
                <w:sz w:val="18"/>
              </w:rPr>
              <w:t xml:space="preserve">No solely automated high-impact decisions — human-in-the-loop everywhere, incl. IA·MCP and DOME routing</w:t>
            </w:r>
          </w:p>
        </w:tc>
      </w:tr>
      <w:tr>
        <w:tc>
          <w:tcPr>
            <w:tcW w:w="2600" w:type="dxa"/>
            <w:tcMar>
              <w:top w:w="45" w:type="dxa"/>
              <w:left w:w="85" w:type="dxa"/>
              <w:bottom w:w="45" w:type="dxa"/>
              <w:right w:w="85" w:type="dxa"/>
            </w:tcMar>
          </w:tcPr>
          <w:p>
            <w:pPr>
              <w:spacing w:after="0" w:before="0"/>
            </w:pPr>
            <w:r>
              <w:rPr>
                <w:b w:val="0"/>
                <w:color w:val="33414F"/>
                <w:sz w:val="18"/>
              </w:rPr>
              <w:t xml:space="preserve">Part F — Data Protection &amp; Survivor-Safety</w:t>
            </w:r>
          </w:p>
        </w:tc>
        <w:tc>
          <w:tcPr>
            <w:tcW w:w="6200" w:type="dxa"/>
            <w:tcMar>
              <w:top w:w="45" w:type="dxa"/>
              <w:left w:w="85" w:type="dxa"/>
              <w:bottom w:w="45" w:type="dxa"/>
              <w:right w:w="85" w:type="dxa"/>
            </w:tcMar>
          </w:tcPr>
          <w:p>
            <w:pPr>
              <w:spacing w:after="0" w:before="0"/>
            </w:pPr>
            <w:r>
              <w:rPr>
                <w:b w:val="0"/>
                <w:color w:val="33414F"/>
                <w:sz w:val="18"/>
              </w:rPr>
              <w:t xml:space="preserve">De-identification and survivor-safety standard bind Chomi/GBV flows; prompt retention rules</w:t>
            </w:r>
          </w:p>
        </w:tc>
      </w:tr>
      <w:tr>
        <w:tc>
          <w:tcPr>
            <w:tcW w:w="2600" w:type="dxa"/>
            <w:tcMar>
              <w:top w:w="45" w:type="dxa"/>
              <w:left w:w="85" w:type="dxa"/>
              <w:bottom w:w="45" w:type="dxa"/>
              <w:right w:w="85" w:type="dxa"/>
            </w:tcMar>
          </w:tcPr>
          <w:p>
            <w:pPr>
              <w:spacing w:after="0" w:before="0"/>
            </w:pPr>
            <w:r>
              <w:rPr>
                <w:b w:val="0"/>
                <w:color w:val="33414F"/>
                <w:sz w:val="18"/>
              </w:rPr>
              <w:t xml:space="preserve">Part G — Incident Response</w:t>
            </w:r>
          </w:p>
        </w:tc>
        <w:tc>
          <w:tcPr>
            <w:tcW w:w="6200" w:type="dxa"/>
            <w:tcMar>
              <w:top w:w="45" w:type="dxa"/>
              <w:left w:w="85" w:type="dxa"/>
              <w:bottom w:w="45" w:type="dxa"/>
              <w:right w:w="85" w:type="dxa"/>
            </w:tcMar>
          </w:tcPr>
          <w:p>
            <w:pPr>
              <w:spacing w:after="0" w:before="0"/>
            </w:pPr>
            <w:r>
              <w:rPr>
                <w:b w:val="0"/>
                <w:color w:val="33414F"/>
                <w:sz w:val="18"/>
              </w:rPr>
              <w:t xml:space="preserve">AI incidents join the SOP loop and the breach procedure (SOP-08)</w:t>
            </w:r>
          </w:p>
        </w:tc>
      </w:tr>
      <w:tr>
        <w:tc>
          <w:tcPr>
            <w:tcW w:w="2600" w:type="dxa"/>
            <w:tcMar>
              <w:top w:w="45" w:type="dxa"/>
              <w:left w:w="85" w:type="dxa"/>
              <w:bottom w:w="45" w:type="dxa"/>
              <w:right w:w="85" w:type="dxa"/>
            </w:tcMar>
          </w:tcPr>
          <w:p>
            <w:pPr>
              <w:spacing w:after="0" w:before="0"/>
            </w:pPr>
            <w:r>
              <w:rPr>
                <w:b w:val="0"/>
                <w:color w:val="33414F"/>
                <w:sz w:val="18"/>
              </w:rPr>
              <w:t xml:space="preserve">Parts H–J + Annexures</w:t>
            </w:r>
          </w:p>
        </w:tc>
        <w:tc>
          <w:tcPr>
            <w:tcW w:w="6200" w:type="dxa"/>
            <w:tcMar>
              <w:top w:w="45" w:type="dxa"/>
              <w:left w:w="85" w:type="dxa"/>
              <w:bottom w:w="45" w:type="dxa"/>
              <w:right w:w="85" w:type="dxa"/>
            </w:tcMar>
          </w:tcPr>
          <w:p>
            <w:pPr>
              <w:spacing w:after="0" w:before="0"/>
            </w:pPr>
            <w:r>
              <w:rPr>
                <w:b w:val="0"/>
                <w:color w:val="33414F"/>
                <w:sz w:val="18"/>
              </w:rPr>
              <w:t xml:space="preserve">Vendor checklist for AI suppliers; tool register; user declarations — feed SOP-07 register</w:t>
            </w:r>
          </w:p>
        </w:tc>
      </w:tr>
    </w:tbl>
    <w:p>
      <w:pPr>
        <w:spacing w:after="80"/>
      </w:pPr>
    </w:p>
    <w:p w:rsidR="00000000" w:rsidDel="00000000" w:rsidP="00000000" w:rsidRDefault="00000000" w:rsidRPr="00000000" w14:paraId="00000071">
      <w:pPr>
        <w:pStyle w:val="Heading2"/>
        <w:spacing w:after="120" w:before="300" w:lineRule="auto"/>
        <w:rPr/>
      </w:pPr>
      <w:r w:rsidDel="00000000" w:rsidR="00000000" w:rsidRPr="00000000">
        <w:rPr>
          <w:rFonts w:ascii="Arial" w:cs="Arial" w:eastAsia="Arial" w:hAnsi="Arial"/>
          <w:rtl w:val="0"/>
        </w:rPr>
        <w:t xml:space="preserve">14.1 Compliance interview threads (QTE-2026-002)</w:t>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3300"/>
        <w:gridCol w:w="2600"/>
        <w:gridCol w:w="2900"/>
      </w:tblGrid>
      <w:tr>
        <w:tc>
          <w:tcPr>
            <w:tcW w:w="3300" w:type="dxa"/>
            <w:shd w:val="clear" w:color="auto" w:fill="0D2137"/>
            <w:tcMar>
              <w:top w:w="45" w:type="dxa"/>
              <w:left w:w="85" w:type="dxa"/>
              <w:bottom w:w="45" w:type="dxa"/>
              <w:right w:w="85" w:type="dxa"/>
            </w:tcMar>
          </w:tcPr>
          <w:p>
            <w:pPr>
              <w:spacing w:after="0" w:before="0"/>
            </w:pPr>
            <w:r>
              <w:rPr>
                <w:b/>
                <w:color w:val="FFFFFF"/>
                <w:sz w:val="18"/>
              </w:rPr>
              <w:t xml:space="preserve">Thread</w:t>
            </w:r>
          </w:p>
        </w:tc>
        <w:tc>
          <w:tcPr>
            <w:tcW w:w="2600" w:type="dxa"/>
            <w:shd w:val="clear" w:color="auto" w:fill="0D2137"/>
            <w:tcMar>
              <w:top w:w="45" w:type="dxa"/>
              <w:left w:w="85" w:type="dxa"/>
              <w:bottom w:w="45" w:type="dxa"/>
              <w:right w:w="85" w:type="dxa"/>
            </w:tcMar>
          </w:tcPr>
          <w:p>
            <w:pPr>
              <w:spacing w:after="0" w:before="0"/>
            </w:pPr>
            <w:r>
              <w:rPr>
                <w:b/>
                <w:color w:val="FFFFFF"/>
                <w:sz w:val="18"/>
              </w:rPr>
              <w:t xml:space="preserve">Legal basis</w:t>
            </w:r>
          </w:p>
        </w:tc>
        <w:tc>
          <w:tcPr>
            <w:tcW w:w="2900" w:type="dxa"/>
            <w:shd w:val="clear" w:color="auto" w:fill="0D2137"/>
            <w:tcMar>
              <w:top w:w="45" w:type="dxa"/>
              <w:left w:w="85" w:type="dxa"/>
              <w:bottom w:w="45" w:type="dxa"/>
              <w:right w:w="85" w:type="dxa"/>
            </w:tcMar>
          </w:tcPr>
          <w:p>
            <w:pPr>
              <w:spacing w:after="0" w:before="0"/>
            </w:pPr>
            <w:r>
              <w:rPr>
                <w:b/>
                <w:color w:val="FFFFFF"/>
                <w:sz w:val="18"/>
              </w:rPr>
              <w:t xml:space="preserve">Roadmap hook</w:t>
            </w:r>
          </w:p>
        </w:tc>
      </w:tr>
      <w:tr>
        <w:tc>
          <w:tcPr>
            <w:tcW w:w="3300" w:type="dxa"/>
            <w:tcMar>
              <w:top w:w="45" w:type="dxa"/>
              <w:left w:w="85" w:type="dxa"/>
              <w:bottom w:w="45" w:type="dxa"/>
              <w:right w:w="85" w:type="dxa"/>
            </w:tcMar>
          </w:tcPr>
          <w:p>
            <w:pPr>
              <w:spacing w:after="0" w:before="0"/>
            </w:pPr>
            <w:r>
              <w:rPr>
                <w:b w:val="0"/>
                <w:color w:val="33414F"/>
                <w:sz w:val="18"/>
              </w:rPr>
              <w:t xml:space="preserve">01 Information Officer registration (6 Qs)</w:t>
            </w:r>
          </w:p>
        </w:tc>
        <w:tc>
          <w:tcPr>
            <w:tcW w:w="2600" w:type="dxa"/>
            <w:tcMar>
              <w:top w:w="45" w:type="dxa"/>
              <w:left w:w="85" w:type="dxa"/>
              <w:bottom w:w="45" w:type="dxa"/>
              <w:right w:w="85" w:type="dxa"/>
            </w:tcMar>
          </w:tcPr>
          <w:p>
            <w:pPr>
              <w:spacing w:after="0" w:before="0"/>
            </w:pPr>
            <w:r>
              <w:rPr>
                <w:b w:val="0"/>
                <w:color w:val="33414F"/>
                <w:sz w:val="18"/>
              </w:rPr>
              <w:t xml:space="preserve">PAIA</w:t>
            </w:r>
          </w:p>
        </w:tc>
        <w:tc>
          <w:tcPr>
            <w:tcW w:w="2900" w:type="dxa"/>
            <w:tcMar>
              <w:top w:w="45" w:type="dxa"/>
              <w:left w:w="85" w:type="dxa"/>
              <w:bottom w:w="45" w:type="dxa"/>
              <w:right w:w="85" w:type="dxa"/>
            </w:tcMar>
          </w:tcPr>
          <w:p>
            <w:pPr>
              <w:spacing w:after="0" w:before="0"/>
            </w:pPr>
            <w:r>
              <w:rPr>
                <w:b w:val="0"/>
                <w:color w:val="33414F"/>
                <w:sz w:val="18"/>
              </w:rPr>
              <w:t xml:space="preserve">Confirm registration; governance pack Part I</w:t>
            </w:r>
          </w:p>
        </w:tc>
      </w:tr>
      <w:tr>
        <w:tc>
          <w:tcPr>
            <w:tcW w:w="3300" w:type="dxa"/>
            <w:tcMar>
              <w:top w:w="45" w:type="dxa"/>
              <w:left w:w="85" w:type="dxa"/>
              <w:bottom w:w="45" w:type="dxa"/>
              <w:right w:w="85" w:type="dxa"/>
            </w:tcMar>
          </w:tcPr>
          <w:p>
            <w:pPr>
              <w:spacing w:after="0" w:before="0"/>
            </w:pPr>
            <w:r>
              <w:rPr>
                <w:b w:val="0"/>
                <w:color w:val="33414F"/>
                <w:sz w:val="18"/>
              </w:rPr>
              <w:t xml:space="preserve">02 Conditions for lawful processing (10 Qs)</w:t>
            </w:r>
          </w:p>
        </w:tc>
        <w:tc>
          <w:tcPr>
            <w:tcW w:w="2600" w:type="dxa"/>
            <w:tcMar>
              <w:top w:w="45" w:type="dxa"/>
              <w:left w:w="85" w:type="dxa"/>
              <w:bottom w:w="45" w:type="dxa"/>
              <w:right w:w="85" w:type="dxa"/>
            </w:tcMar>
          </w:tcPr>
          <w:p>
            <w:pPr>
              <w:spacing w:after="0" w:before="0"/>
            </w:pPr>
            <w:r>
              <w:rPr>
                <w:b w:val="0"/>
                <w:color w:val="33414F"/>
                <w:sz w:val="18"/>
              </w:rPr>
              <w:t xml:space="preserve">POPIA §§8–25</w:t>
            </w:r>
          </w:p>
        </w:tc>
        <w:tc>
          <w:tcPr>
            <w:tcW w:w="2900" w:type="dxa"/>
            <w:tcMar>
              <w:top w:w="45" w:type="dxa"/>
              <w:left w:w="85" w:type="dxa"/>
              <w:bottom w:w="45" w:type="dxa"/>
              <w:right w:w="85" w:type="dxa"/>
            </w:tcMar>
          </w:tcPr>
          <w:p>
            <w:pPr>
              <w:spacing w:after="0" w:before="0"/>
            </w:pPr>
            <w:r>
              <w:rPr>
                <w:b w:val="0"/>
                <w:color w:val="33414F"/>
                <w:sz w:val="18"/>
              </w:rPr>
              <w:t xml:space="preserve">Purview classification; SOP-08</w:t>
            </w:r>
          </w:p>
        </w:tc>
      </w:tr>
      <w:tr>
        <w:tc>
          <w:tcPr>
            <w:tcW w:w="3300" w:type="dxa"/>
            <w:tcMar>
              <w:top w:w="45" w:type="dxa"/>
              <w:left w:w="85" w:type="dxa"/>
              <w:bottom w:w="45" w:type="dxa"/>
              <w:right w:w="85" w:type="dxa"/>
            </w:tcMar>
          </w:tcPr>
          <w:p>
            <w:pPr>
              <w:spacing w:after="0" w:before="0"/>
            </w:pPr>
            <w:r>
              <w:rPr>
                <w:b w:val="0"/>
                <w:color w:val="33414F"/>
                <w:sz w:val="18"/>
              </w:rPr>
              <w:t xml:space="preserve">03 Cross-border data transfer (6 Qs)</w:t>
            </w:r>
          </w:p>
        </w:tc>
        <w:tc>
          <w:tcPr>
            <w:tcW w:w="2600" w:type="dxa"/>
            <w:tcMar>
              <w:top w:w="45" w:type="dxa"/>
              <w:left w:w="85" w:type="dxa"/>
              <w:bottom w:w="45" w:type="dxa"/>
              <w:right w:w="85" w:type="dxa"/>
            </w:tcMar>
          </w:tcPr>
          <w:p>
            <w:pPr>
              <w:spacing w:after="0" w:before="0"/>
            </w:pPr>
            <w:r>
              <w:rPr>
                <w:b w:val="0"/>
                <w:color w:val="33414F"/>
                <w:sz w:val="18"/>
              </w:rPr>
              <w:t xml:space="preserve">POPIA §72</w:t>
            </w:r>
          </w:p>
        </w:tc>
        <w:tc>
          <w:tcPr>
            <w:tcW w:w="2900" w:type="dxa"/>
            <w:tcMar>
              <w:top w:w="45" w:type="dxa"/>
              <w:left w:w="85" w:type="dxa"/>
              <w:bottom w:w="45" w:type="dxa"/>
              <w:right w:w="85" w:type="dxa"/>
            </w:tcMar>
          </w:tcPr>
          <w:p>
            <w:pPr>
              <w:spacing w:after="0" w:before="0"/>
            </w:pPr>
            <w:r>
              <w:rPr>
                <w:b w:val="0"/>
                <w:color w:val="33414F"/>
                <w:sz w:val="18"/>
              </w:rPr>
              <w:t xml:space="preserve">F-01 — confirm af-south-1 vs us-east-1 on record; pathway choice</w:t>
            </w:r>
          </w:p>
        </w:tc>
      </w:tr>
      <w:tr>
        <w:tc>
          <w:tcPr>
            <w:tcW w:w="3300" w:type="dxa"/>
            <w:tcMar>
              <w:top w:w="45" w:type="dxa"/>
              <w:left w:w="85" w:type="dxa"/>
              <w:bottom w:w="45" w:type="dxa"/>
              <w:right w:w="85" w:type="dxa"/>
            </w:tcMar>
          </w:tcPr>
          <w:p>
            <w:pPr>
              <w:spacing w:after="0" w:before="0"/>
            </w:pPr>
            <w:r>
              <w:rPr>
                <w:b w:val="0"/>
                <w:color w:val="33414F"/>
                <w:sz w:val="18"/>
              </w:rPr>
              <w:t xml:space="preserve">04 Clinical records (≈8 Qs)</w:t>
            </w:r>
          </w:p>
        </w:tc>
        <w:tc>
          <w:tcPr>
            <w:tcW w:w="2600" w:type="dxa"/>
            <w:tcMar>
              <w:top w:w="45" w:type="dxa"/>
              <w:left w:w="85" w:type="dxa"/>
              <w:bottom w:w="45" w:type="dxa"/>
              <w:right w:w="85" w:type="dxa"/>
            </w:tcMar>
          </w:tcPr>
          <w:p>
            <w:pPr>
              <w:spacing w:after="0" w:before="0"/>
            </w:pPr>
            <w:r>
              <w:rPr>
                <w:b w:val="0"/>
                <w:color w:val="33414F"/>
                <w:sz w:val="18"/>
              </w:rPr>
              <w:t xml:space="preserve">HPCSA Booklets 10 &amp; 14; NHA §13; ECTA</w:t>
            </w:r>
          </w:p>
        </w:tc>
        <w:tc>
          <w:tcPr>
            <w:tcW w:w="2900" w:type="dxa"/>
            <w:tcMar>
              <w:top w:w="45" w:type="dxa"/>
              <w:left w:w="85" w:type="dxa"/>
              <w:bottom w:w="45" w:type="dxa"/>
              <w:right w:w="85" w:type="dxa"/>
            </w:tcMar>
          </w:tcPr>
          <w:p>
            <w:pPr>
              <w:spacing w:after="0" w:before="0"/>
            </w:pPr>
            <w:r>
              <w:rPr>
                <w:b w:val="0"/>
                <w:color w:val="33414F"/>
                <w:sz w:val="18"/>
              </w:rPr>
              <w:t xml:space="preserve">SMART 2 access logging (user, timestamp, action)</w:t>
            </w:r>
          </w:p>
        </w:tc>
      </w:tr>
      <w:tr>
        <w:tc>
          <w:tcPr>
            <w:tcW w:w="3300" w:type="dxa"/>
            <w:tcMar>
              <w:top w:w="45" w:type="dxa"/>
              <w:left w:w="85" w:type="dxa"/>
              <w:bottom w:w="45" w:type="dxa"/>
              <w:right w:w="85" w:type="dxa"/>
            </w:tcMar>
          </w:tcPr>
          <w:p>
            <w:pPr>
              <w:spacing w:after="0" w:before="0"/>
            </w:pPr>
            <w:r>
              <w:rPr>
                <w:b w:val="0"/>
                <w:color w:val="33414F"/>
                <w:sz w:val="18"/>
              </w:rPr>
              <w:t xml:space="preserve">05 Donor &amp; funder reporting (≈8 Qs)</w:t>
            </w:r>
          </w:p>
        </w:tc>
        <w:tc>
          <w:tcPr>
            <w:tcW w:w="2600" w:type="dxa"/>
            <w:tcMar>
              <w:top w:w="45" w:type="dxa"/>
              <w:left w:w="85" w:type="dxa"/>
              <w:bottom w:w="45" w:type="dxa"/>
              <w:right w:w="85" w:type="dxa"/>
            </w:tcMar>
          </w:tcPr>
          <w:p>
            <w:pPr>
              <w:spacing w:after="0" w:before="0"/>
            </w:pPr>
            <w:r>
              <w:rPr>
                <w:b w:val="0"/>
                <w:color w:val="33414F"/>
                <w:sz w:val="18"/>
              </w:rPr>
              <w:t xml:space="preserve">PEPFAR SIMS/COP; Global Fund OIG; USAID ADS 508</w:t>
            </w:r>
          </w:p>
        </w:tc>
        <w:tc>
          <w:tcPr>
            <w:tcW w:w="2900" w:type="dxa"/>
            <w:tcMar>
              <w:top w:w="45" w:type="dxa"/>
              <w:left w:w="85" w:type="dxa"/>
              <w:bottom w:w="45" w:type="dxa"/>
              <w:right w:w="85" w:type="dxa"/>
            </w:tcMar>
          </w:tcPr>
          <w:p>
            <w:pPr>
              <w:spacing w:after="0" w:before="0"/>
            </w:pPr>
            <w:r>
              <w:rPr>
                <w:b w:val="0"/>
                <w:color w:val="33414F"/>
                <w:sz w:val="18"/>
              </w:rPr>
              <w:t xml:space="preserve">NACOSA-first dashboards; auditable lineage</w:t>
            </w:r>
          </w:p>
        </w:tc>
      </w:tr>
      <w:tr>
        <w:tc>
          <w:tcPr>
            <w:tcW w:w="3300" w:type="dxa"/>
            <w:tcMar>
              <w:top w:w="45" w:type="dxa"/>
              <w:left w:w="85" w:type="dxa"/>
              <w:bottom w:w="45" w:type="dxa"/>
              <w:right w:w="85" w:type="dxa"/>
            </w:tcMar>
          </w:tcPr>
          <w:p>
            <w:pPr>
              <w:spacing w:after="0" w:before="0"/>
            </w:pPr>
            <w:r>
              <w:rPr>
                <w:b w:val="0"/>
                <w:color w:val="33414F"/>
                <w:sz w:val="18"/>
              </w:rPr>
              <w:t xml:space="preserve">06 Special personal information (≈8 Qs)</w:t>
            </w:r>
          </w:p>
        </w:tc>
        <w:tc>
          <w:tcPr>
            <w:tcW w:w="2600" w:type="dxa"/>
            <w:tcMar>
              <w:top w:w="45" w:type="dxa"/>
              <w:left w:w="85" w:type="dxa"/>
              <w:bottom w:w="45" w:type="dxa"/>
              <w:right w:w="85" w:type="dxa"/>
            </w:tcMar>
          </w:tcPr>
          <w:p>
            <w:pPr>
              <w:spacing w:after="0" w:before="0"/>
            </w:pPr>
            <w:r>
              <w:rPr>
                <w:b w:val="0"/>
                <w:color w:val="33414F"/>
                <w:sz w:val="18"/>
              </w:rPr>
              <w:t xml:space="preserve">POPIA §§26–35; Children’s Act 38/2005; DV Act</w:t>
            </w:r>
          </w:p>
        </w:tc>
        <w:tc>
          <w:tcPr>
            <w:tcW w:w="2900" w:type="dxa"/>
            <w:tcMar>
              <w:top w:w="45" w:type="dxa"/>
              <w:left w:w="85" w:type="dxa"/>
              <w:bottom w:w="45" w:type="dxa"/>
              <w:right w:w="85" w:type="dxa"/>
            </w:tcMar>
          </w:tcPr>
          <w:p>
            <w:pPr>
              <w:spacing w:after="0" w:before="0"/>
            </w:pPr>
            <w:r>
              <w:rPr>
                <w:b w:val="0"/>
                <w:color w:val="33414F"/>
                <w:sz w:val="18"/>
              </w:rPr>
              <w:t xml:space="preserve">Six special-PI systems governed; Chomi re-classification</w:t>
            </w:r>
          </w:p>
        </w:tc>
      </w:tr>
    </w:tbl>
    <w:p>
      <w:pPr>
        <w:spacing w:after="80"/>
      </w:pPr>
    </w:p>
    <w:p>
      <w:pPr>
        <w:spacing w:after="80"/>
        <w:ind w:left="360"/>
      </w:pPr>
      <w:r>
        <w:rPr>
          <w:rtl w:val="0"/>
          <w:b/>
          <w:color w:val="0D2137"/>
        </w:rPr>
        <w:t xml:space="preserve">Regulatory horizon: </w:t>
      </w:r>
      <w:r>
        <w:rPr>
          <w:rtl w:val="0"/>
        </w:rPr>
        <w:t xml:space="preserve">the pack also anchors the AU Continental AI Strategy (2024; implementation 2025–2030), the SA National AI Policy Framework (DCDT 2024), UNESCO AI Ethics and OECD AI Principles — with NIST AI RMF 1.0 and ISO/IEC 42001:2023 as the management-system frame for Chomi, Self Cav and AIMEE. DOME-Network is the architectural expression of this pack: the routing layer is where policy stops being paper.</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15. Cost Baseline &amp; Commercial Note (Indicative)</w:t>
      </w:r>
    </w:p>
    <w:p>
      <w:pPr>
        <w:spacing w:before="120" w:after="120"/>
        <w:shd w:val="clear" w:color="auto" w:fill="0D2137"/>
        <w:ind w:left="120" w:right="120"/>
      </w:pPr>
      <w:r>
        <w:rPr>
          <w:rtl w:val="0"/>
          <w:b/>
          <w:color w:val="FFFFFF"/>
        </w:rPr>
        <w:t xml:space="preserve">ALL FORWARD-LOOKING INVESTMENT FIGURES ARE EXCLUDED BY DESIGN. The formal Ionity commercial pack — pathways A–E (incl. the DOME cost models in the audit repository), remediation, ERP, AI Data Platform — is issued separately and supersedes any earlier indicative numbers. Nothing here is a quotation.</w:t>
      </w:r>
    </w:p>
    <w:p>
      <w:pPr>
        <w:spacing w:before="80" w:after="120"/>
        <w:jc w:val="center"/>
      </w:pPr>
      <w:r>
        <w:drawing>
          <wp:inline xmlns:wp="http://schemas.openxmlformats.org/drawingml/2006/wordprocessingDrawing" distT="0" distB="0" distL="0" distR="0">
            <wp:extent cx="5852160" cy="2960464"/>
            <wp:effectExtent l="0" t="0" r="0" b="0"/>
            <wp:docPr id="206" name="Baseline b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Baseline by system"/>
                    <pic:cNvPicPr/>
                  </pic:nvPicPr>
                  <pic:blipFill>
                    <a:blip r:embed="rIdD6"/>
                    <a:stretch>
                      <a:fillRect/>
                    </a:stretch>
                  </pic:blipFill>
                  <pic:spPr>
                    <a:xfrm>
                      <a:off x="0" y="0"/>
                      <a:ext cx="5852160" cy="2960464"/>
                    </a:xfrm>
                    <a:prstGeom prst="rect">
                      <a:avLst/>
                    </a:prstGeom>
                  </pic:spPr>
                </pic:pic>
              </a:graphicData>
            </a:graphic>
          </wp:inline>
        </w:drawing>
      </w:r>
    </w:p>
    <w:tbl>
      <w:tblPr>
        <w:tblW w:w="90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3400"/>
        <w:gridCol w:w="2200"/>
        <w:gridCol w:w="3400"/>
      </w:tblGrid>
      <w:tr>
        <w:tc>
          <w:tcPr>
            <w:tcW w:w="3400" w:type="dxa"/>
            <w:shd w:val="clear" w:color="auto" w:fill="0D2137"/>
            <w:tcMar>
              <w:top w:w="45" w:type="dxa"/>
              <w:left w:w="85" w:type="dxa"/>
              <w:bottom w:w="45" w:type="dxa"/>
              <w:right w:w="85" w:type="dxa"/>
            </w:tcMar>
          </w:tcPr>
          <w:p>
            <w:pPr>
              <w:spacing w:after="0" w:before="0"/>
            </w:pPr>
            <w:r>
              <w:rPr>
                <w:b/>
                <w:color w:val="FFFFFF"/>
                <w:sz w:val="18"/>
              </w:rPr>
              <w:t xml:space="preserve">Baseline item</w:t>
            </w:r>
          </w:p>
        </w:tc>
        <w:tc>
          <w:tcPr>
            <w:tcW w:w="2200" w:type="dxa"/>
            <w:shd w:val="clear" w:color="auto" w:fill="0D2137"/>
            <w:tcMar>
              <w:top w:w="45" w:type="dxa"/>
              <w:left w:w="85" w:type="dxa"/>
              <w:bottom w:w="45" w:type="dxa"/>
              <w:right w:w="85" w:type="dxa"/>
            </w:tcMar>
          </w:tcPr>
          <w:p>
            <w:pPr>
              <w:spacing w:after="0" w:before="0"/>
            </w:pPr>
            <w:r>
              <w:rPr>
                <w:b/>
                <w:color w:val="FFFFFF"/>
                <w:sz w:val="18"/>
              </w:rPr>
              <w:t xml:space="preserve">Amount (ZAR/yr)</w:t>
            </w:r>
          </w:p>
        </w:tc>
        <w:tc>
          <w:tcPr>
            <w:tcW w:w="3400" w:type="dxa"/>
            <w:shd w:val="clear" w:color="auto" w:fill="0D2137"/>
            <w:tcMar>
              <w:top w:w="45" w:type="dxa"/>
              <w:left w:w="85" w:type="dxa"/>
              <w:bottom w:w="45" w:type="dxa"/>
              <w:right w:w="85" w:type="dxa"/>
            </w:tcMar>
          </w:tcPr>
          <w:p>
            <w:pPr>
              <w:spacing w:after="0" w:before="0"/>
            </w:pPr>
            <w:r>
              <w:rPr>
                <w:b/>
                <w:color w:val="FFFFFF"/>
                <w:sz w:val="18"/>
              </w:rPr>
              <w:t xml:space="preserve">Source</w:t>
            </w:r>
          </w:p>
        </w:tc>
      </w:tr>
      <w:tr>
        <w:tc>
          <w:tcPr>
            <w:tcW w:w="3400" w:type="dxa"/>
            <w:tcMar>
              <w:top w:w="45" w:type="dxa"/>
              <w:left w:w="85" w:type="dxa"/>
              <w:bottom w:w="45" w:type="dxa"/>
              <w:right w:w="85" w:type="dxa"/>
            </w:tcMar>
          </w:tcPr>
          <w:p>
            <w:pPr>
              <w:spacing w:after="0" w:before="0"/>
            </w:pPr>
            <w:r>
              <w:rPr>
                <w:b w:val="0"/>
                <w:color w:val="33414F"/>
                <w:sz w:val="18"/>
              </w:rPr>
              <w:t xml:space="preserve">Internal systems subtotal</w:t>
            </w:r>
          </w:p>
        </w:tc>
        <w:tc>
          <w:tcPr>
            <w:tcW w:w="2200" w:type="dxa"/>
            <w:tcMar>
              <w:top w:w="45" w:type="dxa"/>
              <w:left w:w="85" w:type="dxa"/>
              <w:bottom w:w="45" w:type="dxa"/>
              <w:right w:w="85" w:type="dxa"/>
            </w:tcMar>
          </w:tcPr>
          <w:p>
            <w:pPr>
              <w:spacing w:after="0" w:before="0"/>
            </w:pPr>
            <w:r>
              <w:rPr>
                <w:b w:val="0"/>
                <w:color w:val="33414F"/>
                <w:sz w:val="18"/>
              </w:rPr>
              <w:t xml:space="preserve">R 320 000</w:t>
            </w:r>
          </w:p>
        </w:tc>
        <w:tc>
          <w:tcPr>
            <w:tcW w:w="3400" w:type="dxa"/>
            <w:tcMar>
              <w:top w:w="45" w:type="dxa"/>
              <w:left w:w="85" w:type="dxa"/>
              <w:bottom w:w="45" w:type="dxa"/>
              <w:right w:w="85" w:type="dxa"/>
            </w:tcMar>
          </w:tcPr>
          <w:p>
            <w:pPr>
              <w:spacing w:after="0" w:before="0"/>
            </w:pPr>
            <w:r>
              <w:rPr>
                <w:b w:val="0"/>
                <w:color w:val="33414F"/>
                <w:sz w:val="18"/>
              </w:rPr>
              <w:t xml:space="preserve">System Assessment workbook (27/03/2026)</w:t>
            </w:r>
          </w:p>
        </w:tc>
      </w:tr>
      <w:tr>
        <w:tc>
          <w:tcPr>
            <w:tcW w:w="3400" w:type="dxa"/>
            <w:tcMar>
              <w:top w:w="45" w:type="dxa"/>
              <w:left w:w="85" w:type="dxa"/>
              <w:bottom w:w="45" w:type="dxa"/>
              <w:right w:w="85" w:type="dxa"/>
            </w:tcMar>
          </w:tcPr>
          <w:p>
            <w:pPr>
              <w:spacing w:after="0" w:before="0"/>
            </w:pPr>
            <w:r>
              <w:rPr>
                <w:b w:val="0"/>
                <w:color w:val="33414F"/>
                <w:sz w:val="18"/>
              </w:rPr>
              <w:t xml:space="preserve">External systems subtotal</w:t>
            </w:r>
          </w:p>
        </w:tc>
        <w:tc>
          <w:tcPr>
            <w:tcW w:w="2200" w:type="dxa"/>
            <w:tcMar>
              <w:top w:w="45" w:type="dxa"/>
              <w:left w:w="85" w:type="dxa"/>
              <w:bottom w:w="45" w:type="dxa"/>
              <w:right w:w="85" w:type="dxa"/>
            </w:tcMar>
          </w:tcPr>
          <w:p>
            <w:pPr>
              <w:spacing w:after="0" w:before="0"/>
            </w:pPr>
            <w:r>
              <w:rPr>
                <w:b w:val="0"/>
                <w:color w:val="33414F"/>
                <w:sz w:val="18"/>
              </w:rPr>
              <w:t xml:space="preserve">R 924 000</w:t>
            </w:r>
          </w:p>
        </w:tc>
        <w:tc>
          <w:tcPr>
            <w:tcW w:w="3400" w:type="dxa"/>
            <w:tcMar>
              <w:top w:w="45" w:type="dxa"/>
              <w:left w:w="85" w:type="dxa"/>
              <w:bottom w:w="45" w:type="dxa"/>
              <w:right w:w="85" w:type="dxa"/>
            </w:tcMar>
          </w:tcPr>
          <w:p>
            <w:pPr>
              <w:spacing w:after="0" w:before="0"/>
            </w:pPr>
            <w:r>
              <w:rPr>
                <w:b w:val="0"/>
                <w:color w:val="33414F"/>
                <w:sz w:val="18"/>
              </w:rPr>
              <w:t xml:space="preserve">System Assessment workbook (27/03/2026)</w:t>
            </w:r>
          </w:p>
        </w:tc>
      </w:tr>
      <w:tr>
        <w:tc>
          <w:tcPr>
            <w:tcW w:w="3400" w:type="dxa"/>
            <w:tcMar>
              <w:top w:w="45" w:type="dxa"/>
              <w:left w:w="85" w:type="dxa"/>
              <w:bottom w:w="45" w:type="dxa"/>
              <w:right w:w="85" w:type="dxa"/>
            </w:tcMar>
          </w:tcPr>
          <w:p>
            <w:pPr>
              <w:spacing w:after="0" w:before="0"/>
            </w:pPr>
            <w:r>
              <w:rPr>
                <w:b w:val="0"/>
                <w:color w:val="33414F"/>
                <w:sz w:val="18"/>
              </w:rPr>
              <w:t xml:space="preserve">GRAND TOTAL — current estate</w:t>
            </w:r>
          </w:p>
        </w:tc>
        <w:tc>
          <w:tcPr>
            <w:tcW w:w="2200" w:type="dxa"/>
            <w:tcMar>
              <w:top w:w="45" w:type="dxa"/>
              <w:left w:w="85" w:type="dxa"/>
              <w:bottom w:w="45" w:type="dxa"/>
              <w:right w:w="85" w:type="dxa"/>
            </w:tcMar>
          </w:tcPr>
          <w:p>
            <w:pPr>
              <w:spacing w:after="0" w:before="0"/>
            </w:pPr>
            <w:r>
              <w:rPr>
                <w:b w:val="0"/>
                <w:color w:val="33414F"/>
                <w:sz w:val="18"/>
              </w:rPr>
              <w:t xml:space="preserve">R 1 244 000</w:t>
            </w:r>
          </w:p>
        </w:tc>
        <w:tc>
          <w:tcPr>
            <w:tcW w:w="3400" w:type="dxa"/>
            <w:tcMar>
              <w:top w:w="45" w:type="dxa"/>
              <w:left w:w="85" w:type="dxa"/>
              <w:bottom w:w="45" w:type="dxa"/>
              <w:right w:w="85" w:type="dxa"/>
            </w:tcMar>
          </w:tcPr>
          <w:p>
            <w:pPr>
              <w:spacing w:after="0" w:before="0"/>
            </w:pPr>
            <w:r>
              <w:rPr>
                <w:b w:val="0"/>
                <w:color w:val="33414F"/>
                <w:sz w:val="18"/>
              </w:rPr>
              <w:t xml:space="preserve">System Assessment workbook (27/03/2026)</w:t>
            </w:r>
          </w:p>
        </w:tc>
      </w:tr>
      <w:tr>
        <w:tc>
          <w:tcPr>
            <w:tcW w:w="3400" w:type="dxa"/>
            <w:tcMar>
              <w:top w:w="45" w:type="dxa"/>
              <w:left w:w="85" w:type="dxa"/>
              <w:bottom w:w="45" w:type="dxa"/>
              <w:right w:w="85" w:type="dxa"/>
            </w:tcMar>
          </w:tcPr>
          <w:p>
            <w:pPr>
              <w:spacing w:after="0" w:before="0"/>
            </w:pPr>
            <w:r>
              <w:rPr>
                <w:b w:val="0"/>
                <w:color w:val="33414F"/>
                <w:sz w:val="18"/>
              </w:rPr>
              <w:t xml:space="preserve">Addressable through this roadmap</w:t>
            </w:r>
          </w:p>
        </w:tc>
        <w:tc>
          <w:tcPr>
            <w:tcW w:w="2200" w:type="dxa"/>
            <w:tcMar>
              <w:top w:w="45" w:type="dxa"/>
              <w:left w:w="85" w:type="dxa"/>
              <w:bottom w:w="45" w:type="dxa"/>
              <w:right w:w="85" w:type="dxa"/>
            </w:tcMar>
          </w:tcPr>
          <w:p>
            <w:pPr>
              <w:spacing w:after="0" w:before="0"/>
            </w:pPr>
            <w:r>
              <w:rPr>
                <w:b w:val="0"/>
                <w:color w:val="33414F"/>
                <w:sz w:val="18"/>
              </w:rPr>
              <w:t xml:space="preserve">±half of total</w:t>
            </w:r>
          </w:p>
        </w:tc>
        <w:tc>
          <w:tcPr>
            <w:tcW w:w="3400" w:type="dxa"/>
            <w:tcMar>
              <w:top w:w="45" w:type="dxa"/>
              <w:left w:w="85" w:type="dxa"/>
              <w:bottom w:w="45" w:type="dxa"/>
              <w:right w:w="85" w:type="dxa"/>
            </w:tcMar>
          </w:tcPr>
          <w:p>
            <w:pPr>
              <w:spacing w:after="0" w:before="0"/>
            </w:pPr>
            <w:r>
              <w:rPr>
                <w:b w:val="0"/>
                <w:color w:val="33414F"/>
                <w:sz w:val="18"/>
              </w:rPr>
              <w:t xml:space="preserve">Audit review, 22 Jul (ION-MR-2026-004)</w:t>
            </w:r>
          </w:p>
        </w:tc>
      </w:tr>
      <w:tr>
        <w:tc>
          <w:tcPr>
            <w:tcW w:w="3400" w:type="dxa"/>
            <w:tcMar>
              <w:top w:w="45" w:type="dxa"/>
              <w:left w:w="85" w:type="dxa"/>
              <w:bottom w:w="45" w:type="dxa"/>
              <w:right w:w="85" w:type="dxa"/>
            </w:tcMar>
          </w:tcPr>
          <w:p>
            <w:pPr>
              <w:spacing w:after="0" w:before="0"/>
            </w:pPr>
            <w:r>
              <w:rPr>
                <w:b w:val="0"/>
                <w:color w:val="33414F"/>
                <w:sz w:val="18"/>
              </w:rPr>
              <w:t xml:space="preserve">AWS cliff if unaddressed (F-04)</w:t>
            </w:r>
          </w:p>
        </w:tc>
        <w:tc>
          <w:tcPr>
            <w:tcW w:w="2200" w:type="dxa"/>
            <w:tcMar>
              <w:top w:w="45" w:type="dxa"/>
              <w:left w:w="85" w:type="dxa"/>
              <w:bottom w:w="45" w:type="dxa"/>
              <w:right w:w="85" w:type="dxa"/>
            </w:tcMar>
          </w:tcPr>
          <w:p>
            <w:pPr>
              <w:spacing w:after="0" w:before="0"/>
            </w:pPr>
            <w:r>
              <w:rPr>
                <w:b w:val="0"/>
                <w:color w:val="33414F"/>
                <w:sz w:val="18"/>
              </w:rPr>
              <w:t xml:space="preserve">±R9k → R60–70k / month</w:t>
            </w:r>
          </w:p>
        </w:tc>
        <w:tc>
          <w:tcPr>
            <w:tcW w:w="3400" w:type="dxa"/>
            <w:tcMar>
              <w:top w:w="45" w:type="dxa"/>
              <w:left w:w="85" w:type="dxa"/>
              <w:bottom w:w="45" w:type="dxa"/>
              <w:right w:w="85" w:type="dxa"/>
            </w:tcMar>
          </w:tcPr>
          <w:p>
            <w:pPr>
              <w:spacing w:after="0" w:before="0"/>
            </w:pPr>
            <w:r>
              <w:rPr>
                <w:b w:val="0"/>
                <w:color w:val="33414F"/>
                <w:sz w:val="18"/>
              </w:rPr>
              <w:t xml:space="preserve">8-point synthesis; TOPEND</w:t>
            </w:r>
          </w:p>
        </w:tc>
      </w:tr>
      <w:tr>
        <w:tc>
          <w:tcPr>
            <w:tcW w:w="3400" w:type="dxa"/>
            <w:tcMar>
              <w:top w:w="45" w:type="dxa"/>
              <w:left w:w="85" w:type="dxa"/>
              <w:bottom w:w="45" w:type="dxa"/>
              <w:right w:w="85" w:type="dxa"/>
            </w:tcMar>
          </w:tcPr>
          <w:p>
            <w:pPr>
              <w:spacing w:after="0" w:before="0"/>
            </w:pPr>
            <w:r>
              <w:rPr>
                <w:b w:val="0"/>
                <w:color w:val="33414F"/>
                <w:sz w:val="18"/>
              </w:rPr>
              <w:t xml:space="preserve">Pathway economics (A–E)</w:t>
            </w:r>
          </w:p>
        </w:tc>
        <w:tc>
          <w:tcPr>
            <w:tcW w:w="2200" w:type="dxa"/>
            <w:tcMar>
              <w:top w:w="45" w:type="dxa"/>
              <w:left w:w="85" w:type="dxa"/>
              <w:bottom w:w="45" w:type="dxa"/>
              <w:right w:w="85" w:type="dxa"/>
            </w:tcMar>
          </w:tcPr>
          <w:p>
            <w:pPr>
              <w:spacing w:after="0" w:before="0"/>
            </w:pPr>
            <w:r>
              <w:rPr>
                <w:b w:val="0"/>
                <w:color w:val="33414F"/>
                <w:sz w:val="18"/>
              </w:rPr>
              <w:t xml:space="preserve">Commercial pack</w:t>
            </w:r>
          </w:p>
        </w:tc>
        <w:tc>
          <w:tcPr>
            <w:tcW w:w="3400" w:type="dxa"/>
            <w:tcMar>
              <w:top w:w="45" w:type="dxa"/>
              <w:left w:w="85" w:type="dxa"/>
              <w:bottom w:w="45" w:type="dxa"/>
              <w:right w:w="85" w:type="dxa"/>
            </w:tcMar>
          </w:tcPr>
          <w:p>
            <w:pPr>
              <w:spacing w:after="0" w:before="0"/>
            </w:pPr>
            <w:r>
              <w:rPr>
                <w:b w:val="0"/>
                <w:color w:val="33414F"/>
                <w:sz w:val="18"/>
              </w:rPr>
              <w:t xml:space="preserve">DOME cost models — audit repository</w:t>
            </w:r>
          </w:p>
        </w:tc>
      </w:tr>
      <w:tr>
        <w:tc>
          <w:tcPr>
            <w:tcW w:w="3400" w:type="dxa"/>
            <w:tcMar>
              <w:top w:w="45" w:type="dxa"/>
              <w:left w:w="85" w:type="dxa"/>
              <w:bottom w:w="45" w:type="dxa"/>
              <w:right w:w="85" w:type="dxa"/>
            </w:tcMar>
          </w:tcPr>
          <w:p>
            <w:pPr>
              <w:spacing w:after="0" w:before="0"/>
            </w:pPr>
            <w:r>
              <w:rPr>
                <w:b w:val="0"/>
                <w:color w:val="33414F"/>
                <w:sz w:val="18"/>
              </w:rPr>
              <w:t xml:space="preserve">ERP options (Sage routes vs Dynamics 365)</w:t>
            </w:r>
          </w:p>
        </w:tc>
        <w:tc>
          <w:tcPr>
            <w:tcW w:w="2200" w:type="dxa"/>
            <w:tcMar>
              <w:top w:w="45" w:type="dxa"/>
              <w:left w:w="85" w:type="dxa"/>
              <w:bottom w:w="45" w:type="dxa"/>
              <w:right w:w="85" w:type="dxa"/>
            </w:tcMar>
          </w:tcPr>
          <w:p>
            <w:pPr>
              <w:spacing w:after="0" w:before="0"/>
            </w:pPr>
            <w:r>
              <w:rPr>
                <w:b w:val="0"/>
                <w:color w:val="33414F"/>
                <w:sz w:val="18"/>
              </w:rPr>
              <w:t xml:space="preserve">Commercial pack</w:t>
            </w:r>
          </w:p>
        </w:tc>
        <w:tc>
          <w:tcPr>
            <w:tcW w:w="3400" w:type="dxa"/>
            <w:tcMar>
              <w:top w:w="45" w:type="dxa"/>
              <w:left w:w="85" w:type="dxa"/>
              <w:bottom w:w="45" w:type="dxa"/>
              <w:right w:w="85" w:type="dxa"/>
            </w:tcMar>
          </w:tcPr>
          <w:p>
            <w:pPr>
              <w:spacing w:after="0" w:before="0"/>
            </w:pPr>
            <w:r>
              <w:rPr>
                <w:b w:val="0"/>
                <w:color w:val="33414F"/>
                <w:sz w:val="18"/>
              </w:rPr>
              <w:t xml:space="preserve">Finance meetings; Sage demo 22 Jun</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16. Risk &amp; Mitigation</w:t>
      </w:r>
    </w:p>
    <w:tbl>
      <w:tblPr>
        <w:tblW w:w="90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900"/>
        <w:gridCol w:w="1200"/>
        <w:gridCol w:w="2700"/>
        <w:gridCol w:w="2200"/>
      </w:tblGrid>
      <w:tr>
        <w:tc>
          <w:tcPr>
            <w:tcW w:w="2900" w:type="dxa"/>
            <w:shd w:val="clear" w:color="auto" w:fill="0D2137"/>
            <w:tcMar>
              <w:top w:w="45" w:type="dxa"/>
              <w:left w:w="85" w:type="dxa"/>
              <w:bottom w:w="45" w:type="dxa"/>
              <w:right w:w="85" w:type="dxa"/>
            </w:tcMar>
          </w:tcPr>
          <w:p>
            <w:pPr>
              <w:spacing w:after="0" w:before="0"/>
            </w:pPr>
            <w:r>
              <w:rPr>
                <w:b/>
                <w:color w:val="FFFFFF"/>
                <w:sz w:val="18"/>
              </w:rPr>
              <w:t xml:space="preserve">Risk</w:t>
            </w:r>
          </w:p>
        </w:tc>
        <w:tc>
          <w:tcPr>
            <w:tcW w:w="1200" w:type="dxa"/>
            <w:shd w:val="clear" w:color="auto" w:fill="0D2137"/>
            <w:tcMar>
              <w:top w:w="45" w:type="dxa"/>
              <w:left w:w="85" w:type="dxa"/>
              <w:bottom w:w="45" w:type="dxa"/>
              <w:right w:w="85" w:type="dxa"/>
            </w:tcMar>
          </w:tcPr>
          <w:p>
            <w:pPr>
              <w:spacing w:after="0" w:before="0"/>
            </w:pPr>
            <w:r>
              <w:rPr>
                <w:b/>
                <w:color w:val="FFFFFF"/>
                <w:sz w:val="18"/>
              </w:rPr>
              <w:t xml:space="preserve">Rating</w:t>
            </w:r>
          </w:p>
        </w:tc>
        <w:tc>
          <w:tcPr>
            <w:tcW w:w="2700" w:type="dxa"/>
            <w:shd w:val="clear" w:color="auto" w:fill="0D2137"/>
            <w:tcMar>
              <w:top w:w="45" w:type="dxa"/>
              <w:left w:w="85" w:type="dxa"/>
              <w:bottom w:w="45" w:type="dxa"/>
              <w:right w:w="85" w:type="dxa"/>
            </w:tcMar>
          </w:tcPr>
          <w:p>
            <w:pPr>
              <w:spacing w:after="0" w:before="0"/>
            </w:pPr>
            <w:r>
              <w:rPr>
                <w:b/>
                <w:color w:val="FFFFFF"/>
                <w:sz w:val="18"/>
              </w:rPr>
              <w:t xml:space="preserve">Mitigation</w:t>
            </w:r>
          </w:p>
        </w:tc>
        <w:tc>
          <w:tcPr>
            <w:tcW w:w="2200" w:type="dxa"/>
            <w:shd w:val="clear" w:color="auto" w:fill="0D2137"/>
            <w:tcMar>
              <w:top w:w="45" w:type="dxa"/>
              <w:left w:w="85" w:type="dxa"/>
              <w:bottom w:w="45" w:type="dxa"/>
              <w:right w:w="85" w:type="dxa"/>
            </w:tcMar>
          </w:tcPr>
          <w:p>
            <w:pPr>
              <w:spacing w:after="0" w:before="0"/>
            </w:pPr>
            <w:r>
              <w:rPr>
                <w:b/>
                <w:color w:val="FFFFFF"/>
                <w:sz w:val="18"/>
              </w:rPr>
              <w:t xml:space="preserve">Owner</w:t>
            </w:r>
          </w:p>
        </w:tc>
      </w:tr>
      <w:tr>
        <w:tc>
          <w:tcPr>
            <w:tcW w:w="2900" w:type="dxa"/>
            <w:tcMar>
              <w:top w:w="45" w:type="dxa"/>
              <w:left w:w="85" w:type="dxa"/>
              <w:bottom w:w="45" w:type="dxa"/>
              <w:right w:w="85" w:type="dxa"/>
            </w:tcMar>
          </w:tcPr>
          <w:p>
            <w:pPr>
              <w:spacing w:after="0" w:before="0"/>
            </w:pPr>
            <w:r>
              <w:rPr>
                <w:b w:val="0"/>
                <w:color w:val="33414F"/>
                <w:sz w:val="18"/>
              </w:rPr>
              <w:t xml:space="preserve">Miss the ~Sept AWS expiry (F-04)</w:t>
            </w:r>
          </w:p>
        </w:tc>
        <w:tc>
          <w:tcPr>
            <w:tcW w:w="1200" w:type="dxa"/>
            <w:tcMar>
              <w:top w:w="45" w:type="dxa"/>
              <w:left w:w="85" w:type="dxa"/>
              <w:bottom w:w="45" w:type="dxa"/>
              <w:right w:w="85" w:type="dxa"/>
            </w:tcMar>
          </w:tcPr>
          <w:p>
            <w:pPr>
              <w:spacing w:after="0" w:before="0"/>
            </w:pPr>
            <w:r>
              <w:rPr>
                <w:b w:val="0"/>
                <w:color w:val="33414F"/>
                <w:sz w:val="18"/>
              </w:rPr>
              <w:t xml:space="preserve">HIGH</w:t>
            </w:r>
          </w:p>
        </w:tc>
        <w:tc>
          <w:tcPr>
            <w:tcW w:w="2700" w:type="dxa"/>
            <w:tcMar>
              <w:top w:w="45" w:type="dxa"/>
              <w:left w:w="85" w:type="dxa"/>
              <w:bottom w:w="45" w:type="dxa"/>
              <w:right w:w="85" w:type="dxa"/>
            </w:tcMar>
          </w:tcPr>
          <w:p>
            <w:pPr>
              <w:spacing w:after="0" w:before="0"/>
            </w:pPr>
            <w:r>
              <w:rPr>
                <w:b w:val="0"/>
                <w:color w:val="33414F"/>
                <w:sz w:val="18"/>
              </w:rPr>
              <w:t xml:space="preserve">A1 downscale now; pathway build closes before deadline; weekly tracking</w:t>
            </w:r>
          </w:p>
        </w:tc>
        <w:tc>
          <w:tcPr>
            <w:tcW w:w="2200" w:type="dxa"/>
            <w:tcMar>
              <w:top w:w="45" w:type="dxa"/>
              <w:left w:w="85" w:type="dxa"/>
              <w:bottom w:w="45" w:type="dxa"/>
              <w:right w:w="85" w:type="dxa"/>
            </w:tcMar>
          </w:tcPr>
          <w:p>
            <w:pPr>
              <w:spacing w:after="0" w:before="0"/>
            </w:pPr>
            <w:r>
              <w:rPr>
                <w:b w:val="0"/>
                <w:color w:val="33414F"/>
                <w:sz w:val="18"/>
              </w:rPr>
              <w:t xml:space="preserve">Neetin + Ionity</w:t>
            </w:r>
          </w:p>
        </w:tc>
      </w:tr>
      <w:tr>
        <w:tc>
          <w:tcPr>
            <w:tcW w:w="2900" w:type="dxa"/>
            <w:tcMar>
              <w:top w:w="45" w:type="dxa"/>
              <w:left w:w="85" w:type="dxa"/>
              <w:bottom w:w="45" w:type="dxa"/>
              <w:right w:w="85" w:type="dxa"/>
            </w:tcMar>
          </w:tcPr>
          <w:p>
            <w:pPr>
              <w:spacing w:after="0" w:before="0"/>
            </w:pPr>
            <w:r>
              <w:rPr>
                <w:b w:val="0"/>
                <w:color w:val="33414F"/>
                <w:sz w:val="18"/>
              </w:rPr>
              <w:t xml:space="preserve">Pathway indecision stalls everything</w:t>
            </w:r>
          </w:p>
        </w:tc>
        <w:tc>
          <w:tcPr>
            <w:tcW w:w="1200" w:type="dxa"/>
            <w:tcMar>
              <w:top w:w="45" w:type="dxa"/>
              <w:left w:w="85" w:type="dxa"/>
              <w:bottom w:w="45" w:type="dxa"/>
              <w:right w:w="85" w:type="dxa"/>
            </w:tcMar>
          </w:tcPr>
          <w:p>
            <w:pPr>
              <w:spacing w:after="0" w:before="0"/>
            </w:pPr>
            <w:r>
              <w:rPr>
                <w:b w:val="0"/>
                <w:color w:val="33414F"/>
                <w:sz w:val="18"/>
              </w:rPr>
              <w:t xml:space="preserve">HIGH</w:t>
            </w:r>
          </w:p>
        </w:tc>
        <w:tc>
          <w:tcPr>
            <w:tcW w:w="2700" w:type="dxa"/>
            <w:tcMar>
              <w:top w:w="45" w:type="dxa"/>
              <w:left w:w="85" w:type="dxa"/>
              <w:bottom w:w="45" w:type="dxa"/>
              <w:right w:w="85" w:type="dxa"/>
            </w:tcMar>
          </w:tcPr>
          <w:p>
            <w:pPr>
              <w:spacing w:after="0" w:before="0"/>
            </w:pPr>
            <w:r>
              <w:rPr>
                <w:b w:val="0"/>
                <w:color w:val="33414F"/>
                <w:sz w:val="18"/>
              </w:rPr>
              <w:t xml:space="preserve">Section 5 pack to Exco first week of Aug; decision gate on the Gantt</w:t>
            </w:r>
          </w:p>
        </w:tc>
        <w:tc>
          <w:tcPr>
            <w:tcW w:w="2200" w:type="dxa"/>
            <w:tcMar>
              <w:top w:w="45" w:type="dxa"/>
              <w:left w:w="85" w:type="dxa"/>
              <w:bottom w:w="45" w:type="dxa"/>
              <w:right w:w="85" w:type="dxa"/>
            </w:tcMar>
          </w:tcPr>
          <w:p>
            <w:pPr>
              <w:spacing w:after="0" w:before="0"/>
            </w:pPr>
            <w:r>
              <w:rPr>
                <w:b w:val="0"/>
                <w:color w:val="33414F"/>
                <w:sz w:val="18"/>
              </w:rPr>
              <w:t xml:space="preserve">Lillian / Dr Mtshali</w:t>
            </w:r>
          </w:p>
        </w:tc>
      </w:tr>
      <w:tr>
        <w:tc>
          <w:tcPr>
            <w:tcW w:w="2900" w:type="dxa"/>
            <w:tcMar>
              <w:top w:w="45" w:type="dxa"/>
              <w:left w:w="85" w:type="dxa"/>
              <w:bottom w:w="45" w:type="dxa"/>
              <w:right w:w="85" w:type="dxa"/>
            </w:tcMar>
          </w:tcPr>
          <w:p>
            <w:pPr>
              <w:spacing w:after="0" w:before="0"/>
            </w:pPr>
            <w:r>
              <w:rPr>
                <w:b w:val="0"/>
                <w:color w:val="33414F"/>
                <w:sz w:val="18"/>
              </w:rPr>
              <w:t xml:space="preserve">POPIA exposure until F-01 lands</w:t>
            </w:r>
          </w:p>
        </w:tc>
        <w:tc>
          <w:tcPr>
            <w:tcW w:w="1200" w:type="dxa"/>
            <w:tcMar>
              <w:top w:w="45" w:type="dxa"/>
              <w:left w:w="85" w:type="dxa"/>
              <w:bottom w:w="45" w:type="dxa"/>
              <w:right w:w="85" w:type="dxa"/>
            </w:tcMar>
          </w:tcPr>
          <w:p>
            <w:pPr>
              <w:spacing w:after="0" w:before="0"/>
            </w:pPr>
            <w:r>
              <w:rPr>
                <w:b w:val="0"/>
                <w:color w:val="33414F"/>
                <w:sz w:val="18"/>
              </w:rPr>
              <w:t xml:space="preserve">HIGH</w:t>
            </w:r>
          </w:p>
        </w:tc>
        <w:tc>
          <w:tcPr>
            <w:tcW w:w="2700" w:type="dxa"/>
            <w:tcMar>
              <w:top w:w="45" w:type="dxa"/>
              <w:left w:w="85" w:type="dxa"/>
              <w:bottom w:w="45" w:type="dxa"/>
              <w:right w:w="85" w:type="dxa"/>
            </w:tcMar>
          </w:tcPr>
          <w:p>
            <w:pPr>
              <w:spacing w:after="0" w:before="0"/>
            </w:pPr>
            <w:r>
              <w:rPr>
                <w:b w:val="0"/>
                <w:color w:val="33414F"/>
                <w:sz w:val="18"/>
              </w:rPr>
              <w:t xml:space="preserve">B2 immediate; §72 confirmation on record; residency in every gate</w:t>
            </w:r>
          </w:p>
        </w:tc>
        <w:tc>
          <w:tcPr>
            <w:tcW w:w="2200" w:type="dxa"/>
            <w:tcMar>
              <w:top w:w="45" w:type="dxa"/>
              <w:left w:w="85" w:type="dxa"/>
              <w:bottom w:w="45" w:type="dxa"/>
              <w:right w:w="85" w:type="dxa"/>
            </w:tcMar>
          </w:tcPr>
          <w:p>
            <w:pPr>
              <w:spacing w:after="0" w:before="0"/>
            </w:pPr>
            <w:r>
              <w:rPr>
                <w:b w:val="0"/>
                <w:color w:val="33414F"/>
                <w:sz w:val="18"/>
              </w:rPr>
              <w:t xml:space="preserve">Ionity + Neetin</w:t>
            </w:r>
          </w:p>
        </w:tc>
      </w:tr>
      <w:tr>
        <w:tc>
          <w:tcPr>
            <w:tcW w:w="2900" w:type="dxa"/>
            <w:tcMar>
              <w:top w:w="45" w:type="dxa"/>
              <w:left w:w="85" w:type="dxa"/>
              <w:bottom w:w="45" w:type="dxa"/>
              <w:right w:w="85" w:type="dxa"/>
            </w:tcMar>
          </w:tcPr>
          <w:p>
            <w:pPr>
              <w:spacing w:after="0" w:before="0"/>
            </w:pPr>
            <w:r>
              <w:rPr>
                <w:b w:val="0"/>
                <w:color w:val="33414F"/>
                <w:sz w:val="18"/>
              </w:rPr>
              <w:t xml:space="preserve">Single-person IT dependency</w:t>
            </w:r>
          </w:p>
        </w:tc>
        <w:tc>
          <w:tcPr>
            <w:tcW w:w="1200" w:type="dxa"/>
            <w:tcMar>
              <w:top w:w="45" w:type="dxa"/>
              <w:left w:w="85" w:type="dxa"/>
              <w:bottom w:w="45" w:type="dxa"/>
              <w:right w:w="85" w:type="dxa"/>
            </w:tcMar>
          </w:tcPr>
          <w:p>
            <w:pPr>
              <w:spacing w:after="0" w:before="0"/>
            </w:pPr>
            <w:r>
              <w:rPr>
                <w:b w:val="0"/>
                <w:color w:val="33414F"/>
                <w:sz w:val="18"/>
              </w:rPr>
              <w:t xml:space="preserve">HIGH</w:t>
            </w:r>
          </w:p>
        </w:tc>
        <w:tc>
          <w:tcPr>
            <w:tcW w:w="2700" w:type="dxa"/>
            <w:tcMar>
              <w:top w:w="45" w:type="dxa"/>
              <w:left w:w="85" w:type="dxa"/>
              <w:bottom w:w="45" w:type="dxa"/>
              <w:right w:w="85" w:type="dxa"/>
            </w:tcMar>
          </w:tcPr>
          <w:p>
            <w:pPr>
              <w:spacing w:after="0" w:before="0"/>
            </w:pPr>
            <w:r>
              <w:rPr>
                <w:b w:val="0"/>
                <w:color w:val="33414F"/>
                <w:sz w:val="18"/>
              </w:rPr>
              <w:t xml:space="preserve">SOPs + IA·MCP automation; Ionity backup under SLA v1.0; documentation-first</w:t>
            </w:r>
          </w:p>
        </w:tc>
        <w:tc>
          <w:tcPr>
            <w:tcW w:w="2200" w:type="dxa"/>
            <w:tcMar>
              <w:top w:w="45" w:type="dxa"/>
              <w:left w:w="85" w:type="dxa"/>
              <w:bottom w:w="45" w:type="dxa"/>
              <w:right w:w="85" w:type="dxa"/>
            </w:tcMar>
          </w:tcPr>
          <w:p>
            <w:pPr>
              <w:spacing w:after="0" w:before="0"/>
            </w:pPr>
            <w:r>
              <w:rPr>
                <w:b w:val="0"/>
                <w:color w:val="33414F"/>
                <w:sz w:val="18"/>
              </w:rPr>
              <w:t xml:space="preserve">Lillian (resourcing)</w:t>
            </w:r>
          </w:p>
        </w:tc>
      </w:tr>
      <w:tr>
        <w:tc>
          <w:tcPr>
            <w:tcW w:w="2900" w:type="dxa"/>
            <w:tcMar>
              <w:top w:w="45" w:type="dxa"/>
              <w:left w:w="85" w:type="dxa"/>
              <w:bottom w:w="45" w:type="dxa"/>
              <w:right w:w="85" w:type="dxa"/>
            </w:tcMar>
          </w:tcPr>
          <w:p>
            <w:pPr>
              <w:spacing w:after="0" w:before="0"/>
            </w:pPr>
            <w:r>
              <w:rPr>
                <w:b w:val="0"/>
                <w:color w:val="33414F"/>
                <w:sz w:val="18"/>
              </w:rPr>
              <w:t xml:space="preserve">Vendor custody loss continues (F-08)</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Code escrow / repo consolidation; central takeover of iShout support</w:t>
            </w:r>
          </w:p>
        </w:tc>
        <w:tc>
          <w:tcPr>
            <w:tcW w:w="2200" w:type="dxa"/>
            <w:tcMar>
              <w:top w:w="45" w:type="dxa"/>
              <w:left w:w="85" w:type="dxa"/>
              <w:bottom w:w="45" w:type="dxa"/>
              <w:right w:w="85" w:type="dxa"/>
            </w:tcMar>
          </w:tcPr>
          <w:p>
            <w:pPr>
              <w:spacing w:after="0" w:before="0"/>
            </w:pPr>
            <w:r>
              <w:rPr>
                <w:b w:val="0"/>
                <w:color w:val="33414F"/>
                <w:sz w:val="18"/>
              </w:rPr>
              <w:t xml:space="preserve">Ionity + Neetin</w:t>
            </w:r>
          </w:p>
        </w:tc>
      </w:tr>
      <w:tr>
        <w:tc>
          <w:tcPr>
            <w:tcW w:w="2900" w:type="dxa"/>
            <w:tcMar>
              <w:top w:w="45" w:type="dxa"/>
              <w:left w:w="85" w:type="dxa"/>
              <w:bottom w:w="45" w:type="dxa"/>
              <w:right w:w="85" w:type="dxa"/>
            </w:tcMar>
          </w:tcPr>
          <w:p>
            <w:pPr>
              <w:spacing w:after="0" w:before="0"/>
            </w:pPr>
            <w:r>
              <w:rPr>
                <w:b w:val="0"/>
                <w:color w:val="33414F"/>
                <w:sz w:val="18"/>
              </w:rPr>
              <w:t xml:space="preserve">Fragile SMART 2 ↔ SNowI 2 sync (F-07)</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Decouple via governed layer; offline-first design under Path A/E</w:t>
            </w:r>
          </w:p>
        </w:tc>
        <w:tc>
          <w:tcPr>
            <w:tcW w:w="2200" w:type="dxa"/>
            <w:tcMar>
              <w:top w:w="45" w:type="dxa"/>
              <w:left w:w="85" w:type="dxa"/>
              <w:bottom w:w="45" w:type="dxa"/>
              <w:right w:w="85" w:type="dxa"/>
            </w:tcMar>
          </w:tcPr>
          <w:p>
            <w:pPr>
              <w:spacing w:after="0" w:before="0"/>
            </w:pPr>
            <w:r>
              <w:rPr>
                <w:b w:val="0"/>
                <w:color w:val="33414F"/>
                <w:sz w:val="18"/>
              </w:rPr>
              <w:t xml:space="preserve">Ionity</w:t>
            </w:r>
          </w:p>
        </w:tc>
      </w:tr>
      <w:tr>
        <w:tc>
          <w:tcPr>
            <w:tcW w:w="2900" w:type="dxa"/>
            <w:tcMar>
              <w:top w:w="45" w:type="dxa"/>
              <w:left w:w="85" w:type="dxa"/>
              <w:bottom w:w="45" w:type="dxa"/>
              <w:right w:w="85" w:type="dxa"/>
            </w:tcMar>
          </w:tcPr>
          <w:p>
            <w:pPr>
              <w:spacing w:after="0" w:before="0"/>
            </w:pPr>
            <w:r>
              <w:rPr>
                <w:b w:val="0"/>
                <w:color w:val="33414F"/>
                <w:sz w:val="18"/>
              </w:rPr>
              <w:t xml:space="preserve">ERP decision stalls (F-05)</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Options + commercials in Aug; integrate-or-replace rule</w:t>
            </w:r>
          </w:p>
        </w:tc>
        <w:tc>
          <w:tcPr>
            <w:tcW w:w="2200" w:type="dxa"/>
            <w:tcMar>
              <w:top w:w="45" w:type="dxa"/>
              <w:left w:w="85" w:type="dxa"/>
              <w:bottom w:w="45" w:type="dxa"/>
              <w:right w:w="85" w:type="dxa"/>
            </w:tcMar>
          </w:tcPr>
          <w:p>
            <w:pPr>
              <w:spacing w:after="0" w:before="0"/>
            </w:pPr>
            <w:r>
              <w:rPr>
                <w:b w:val="0"/>
                <w:color w:val="33414F"/>
                <w:sz w:val="18"/>
              </w:rPr>
              <w:t xml:space="preserve">Pierre + Angela</w:t>
            </w:r>
          </w:p>
        </w:tc>
      </w:tr>
      <w:tr>
        <w:tc>
          <w:tcPr>
            <w:tcW w:w="2900" w:type="dxa"/>
            <w:tcMar>
              <w:top w:w="45" w:type="dxa"/>
              <w:left w:w="85" w:type="dxa"/>
              <w:bottom w:w="45" w:type="dxa"/>
              <w:right w:w="85" w:type="dxa"/>
            </w:tcMar>
          </w:tcPr>
          <w:p>
            <w:pPr>
              <w:spacing w:after="0" w:before="0"/>
            </w:pPr>
            <w:r>
              <w:rPr>
                <w:b w:val="0"/>
                <w:color w:val="33414F"/>
                <w:sz w:val="18"/>
              </w:rPr>
              <w:t xml:space="preserve">AI use outpaces governance</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SOP-09 intake mandatory; Part D tiering; no solely automated high-impact decisions</w:t>
            </w:r>
          </w:p>
        </w:tc>
        <w:tc>
          <w:tcPr>
            <w:tcW w:w="2200" w:type="dxa"/>
            <w:tcMar>
              <w:top w:w="45" w:type="dxa"/>
              <w:left w:w="85" w:type="dxa"/>
              <w:bottom w:w="45" w:type="dxa"/>
              <w:right w:w="85" w:type="dxa"/>
            </w:tcMar>
          </w:tcPr>
          <w:p>
            <w:pPr>
              <w:spacing w:after="0" w:before="0"/>
            </w:pPr>
            <w:r>
              <w:rPr>
                <w:b w:val="0"/>
                <w:color w:val="33414F"/>
                <w:sz w:val="18"/>
              </w:rPr>
              <w:t xml:space="preserve">Neetin + Gov</w:t>
            </w:r>
          </w:p>
        </w:tc>
      </w:tr>
      <w:tr>
        <w:tc>
          <w:tcPr>
            <w:tcW w:w="2900" w:type="dxa"/>
            <w:tcMar>
              <w:top w:w="45" w:type="dxa"/>
              <w:left w:w="85" w:type="dxa"/>
              <w:bottom w:w="45" w:type="dxa"/>
              <w:right w:w="85" w:type="dxa"/>
            </w:tcMar>
          </w:tcPr>
          <w:p>
            <w:pPr>
              <w:spacing w:after="0" w:before="0"/>
            </w:pPr>
            <w:r>
              <w:rPr>
                <w:b w:val="0"/>
                <w:color w:val="33414F"/>
                <w:sz w:val="18"/>
              </w:rPr>
              <w:t xml:space="preserve">Duplicate special-PI records persist (F-09)</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Silver-layer dedupe + data-steward review</w:t>
            </w:r>
          </w:p>
        </w:tc>
        <w:tc>
          <w:tcPr>
            <w:tcW w:w="2200" w:type="dxa"/>
            <w:tcMar>
              <w:top w:w="45" w:type="dxa"/>
              <w:left w:w="85" w:type="dxa"/>
              <w:bottom w:w="45" w:type="dxa"/>
              <w:right w:w="85" w:type="dxa"/>
            </w:tcMar>
          </w:tcPr>
          <w:p>
            <w:pPr>
              <w:spacing w:after="0" w:before="0"/>
            </w:pPr>
            <w:r>
              <w:rPr>
                <w:b w:val="0"/>
                <w:color w:val="33414F"/>
                <w:sz w:val="18"/>
              </w:rPr>
              <w:t xml:space="preserve">Ionity + Neetin</w:t>
            </w:r>
          </w:p>
        </w:tc>
      </w:tr>
      <w:tr>
        <w:tc>
          <w:tcPr>
            <w:tcW w:w="2900" w:type="dxa"/>
            <w:tcMar>
              <w:top w:w="45" w:type="dxa"/>
              <w:left w:w="85" w:type="dxa"/>
              <w:bottom w:w="45" w:type="dxa"/>
              <w:right w:w="85" w:type="dxa"/>
            </w:tcMar>
          </w:tcPr>
          <w:p>
            <w:pPr>
              <w:spacing w:after="0" w:before="0"/>
            </w:pPr>
            <w:r>
              <w:rPr>
                <w:b w:val="0"/>
                <w:color w:val="33414F"/>
                <w:sz w:val="18"/>
              </w:rPr>
              <w:t xml:space="preserve">Source-owner access delays (dashboards)</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Provision in D1; Vui sessions scheduled</w:t>
            </w:r>
          </w:p>
        </w:tc>
        <w:tc>
          <w:tcPr>
            <w:tcW w:w="2200" w:type="dxa"/>
            <w:tcMar>
              <w:top w:w="45" w:type="dxa"/>
              <w:left w:w="85" w:type="dxa"/>
              <w:bottom w:w="45" w:type="dxa"/>
              <w:right w:w="85" w:type="dxa"/>
            </w:tcMar>
          </w:tcPr>
          <w:p>
            <w:pPr>
              <w:spacing w:after="0" w:before="0"/>
            </w:pPr>
            <w:r>
              <w:rPr>
                <w:b w:val="0"/>
                <w:color w:val="33414F"/>
                <w:sz w:val="18"/>
              </w:rPr>
              <w:t xml:space="preserve">Ionity</w:t>
            </w:r>
          </w:p>
        </w:tc>
      </w:tr>
      <w:tr>
        <w:tc>
          <w:tcPr>
            <w:tcW w:w="2900" w:type="dxa"/>
            <w:tcMar>
              <w:top w:w="45" w:type="dxa"/>
              <w:left w:w="85" w:type="dxa"/>
              <w:bottom w:w="45" w:type="dxa"/>
              <w:right w:w="85" w:type="dxa"/>
            </w:tcMar>
          </w:tcPr>
          <w:p>
            <w:pPr>
              <w:spacing w:after="0" w:before="0"/>
            </w:pPr>
            <w:r>
              <w:rPr>
                <w:b w:val="0"/>
                <w:color w:val="33414F"/>
                <w:sz w:val="18"/>
              </w:rPr>
              <w:t xml:space="preserve">Scope creep</w:t>
            </w:r>
          </w:p>
        </w:tc>
        <w:tc>
          <w:tcPr>
            <w:tcW w:w="1200" w:type="dxa"/>
            <w:tcMar>
              <w:top w:w="45" w:type="dxa"/>
              <w:left w:w="85" w:type="dxa"/>
              <w:bottom w:w="45" w:type="dxa"/>
              <w:right w:w="85" w:type="dxa"/>
            </w:tcMar>
          </w:tcPr>
          <w:p>
            <w:pPr>
              <w:spacing w:after="0" w:before="0"/>
            </w:pPr>
            <w:r>
              <w:rPr>
                <w:b w:val="0"/>
                <w:color w:val="33414F"/>
                <w:sz w:val="18"/>
              </w:rPr>
              <w:t xml:space="preserve">MED</w:t>
            </w:r>
          </w:p>
        </w:tc>
        <w:tc>
          <w:tcPr>
            <w:tcW w:w="2700" w:type="dxa"/>
            <w:tcMar>
              <w:top w:w="45" w:type="dxa"/>
              <w:left w:w="85" w:type="dxa"/>
              <w:bottom w:w="45" w:type="dxa"/>
              <w:right w:w="85" w:type="dxa"/>
            </w:tcMar>
          </w:tcPr>
          <w:p>
            <w:pPr>
              <w:spacing w:after="0" w:before="0"/>
            </w:pPr>
            <w:r>
              <w:rPr>
                <w:b w:val="0"/>
                <w:color w:val="33414F"/>
                <w:sz w:val="18"/>
              </w:rPr>
              <w:t xml:space="preserve">SOP-01 — written, priced, signed before work</w:t>
            </w:r>
          </w:p>
        </w:tc>
        <w:tc>
          <w:tcPr>
            <w:tcW w:w="2200" w:type="dxa"/>
            <w:tcMar>
              <w:top w:w="45" w:type="dxa"/>
              <w:left w:w="85" w:type="dxa"/>
              <w:bottom w:w="45" w:type="dxa"/>
              <w:right w:w="85" w:type="dxa"/>
            </w:tcMar>
          </w:tcPr>
          <w:p>
            <w:pPr>
              <w:spacing w:after="0" w:before="0"/>
            </w:pPr>
            <w:r>
              <w:rPr>
                <w:b w:val="0"/>
                <w:color w:val="33414F"/>
                <w:sz w:val="18"/>
              </w:rPr>
              <w:t xml:space="preserve">Both SPOCs</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17. Governance, Reporting &amp; Decision Path</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Decision path: Johan presents this IR with the pathway pack and commercials to Exco; Exco selects the pathway; the IT architectural blueprint is drawn from that decision and taken to the Board and the Finance, Audit &amp; Risk Committee, with final approvals at CEO level (Dr Ntombifikile Mtshali). Control frameworks: NIST CSF 2.0, ISO 27001:2022 and CIS v8 for the estate; NIST AI RMF 1.0 and ISO/IEC 42001:2023 for the AI layer; POPIA throughout; King IV accountability for board reporting.</w:t>
      </w:r>
    </w:p>
    <w:p>
      <w:pPr>
        <w:spacing w:after="80"/>
        <w:ind w:left="360"/>
      </w:pPr>
      <w:r>
        <w:rPr>
          <w:rtl w:val="0"/>
          <w:b/>
          <w:color w:val="0D2137"/>
        </w:rPr>
        <w:t xml:space="preserve">Reporting cadence: </w:t>
      </w:r>
      <w:r>
        <w:rPr>
          <w:rtl w:val="0"/>
        </w:rPr>
        <w:t xml:space="preserve">weekly IA·MCP score (SOP-06) → monthly exception summary to Exco → per-cycle posture pack to Board/FARC. Acceptance and the final-payment trigger follow the signed closeout per the Progress Sign-Off Sheet V1.0 and SOW.</w:t>
      </w:r>
    </w:p>
    <w:p>
      <w:pPr>
        <w:spacing w:after="80"/>
        <w:ind w:left="360"/>
      </w:pPr>
      <w:r>
        <w:rPr>
          <w:rtl w:val="0"/>
          <w:b/>
          <w:color w:val="0D2137"/>
        </w:rPr>
        <w:t xml:space="preserve">Ownership: </w:t>
      </w:r>
      <w:r>
        <w:rPr>
          <w:rtl w:val="0"/>
        </w:rPr>
        <w:t xml:space="preserve">SHOUT-IT-NOW retains tenancy, hardware (Path A/E), data and code throughout — no lock-in. CONFIDENTIAL under Policy 986 AED; mutual NDA v1.2 and SLA v1.0 on file.</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18. Acceptance Criteria &amp; Success Metrics</w:t>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4400"/>
        <w:gridCol w:w="2600"/>
        <w:gridCol w:w="1800"/>
      </w:tblGrid>
      <w:tr>
        <w:tc>
          <w:tcPr>
            <w:tcW w:w="4400" w:type="dxa"/>
            <w:shd w:val="clear" w:color="auto" w:fill="0D2137"/>
            <w:tcMar>
              <w:top w:w="45" w:type="dxa"/>
              <w:left w:w="85" w:type="dxa"/>
              <w:bottom w:w="45" w:type="dxa"/>
              <w:right w:w="85" w:type="dxa"/>
            </w:tcMar>
          </w:tcPr>
          <w:p>
            <w:pPr>
              <w:spacing w:after="0" w:before="0"/>
            </w:pPr>
            <w:r>
              <w:rPr>
                <w:b/>
                <w:color w:val="FFFFFF"/>
                <w:sz w:val="18"/>
              </w:rPr>
              <w:t xml:space="preserve">Criterion</w:t>
            </w:r>
          </w:p>
        </w:tc>
        <w:tc>
          <w:tcPr>
            <w:tcW w:w="2600" w:type="dxa"/>
            <w:shd w:val="clear" w:color="auto" w:fill="0D2137"/>
            <w:tcMar>
              <w:top w:w="45" w:type="dxa"/>
              <w:left w:w="85" w:type="dxa"/>
              <w:bottom w:w="45" w:type="dxa"/>
              <w:right w:w="85" w:type="dxa"/>
            </w:tcMar>
          </w:tcPr>
          <w:p>
            <w:pPr>
              <w:spacing w:after="0" w:before="0"/>
            </w:pPr>
            <w:r>
              <w:rPr>
                <w:b/>
                <w:color w:val="FFFFFF"/>
                <w:sz w:val="18"/>
              </w:rPr>
              <w:t xml:space="preserve">Measure</w:t>
            </w:r>
          </w:p>
        </w:tc>
        <w:tc>
          <w:tcPr>
            <w:tcW w:w="1800" w:type="dxa"/>
            <w:shd w:val="clear" w:color="auto" w:fill="0D2137"/>
            <w:tcMar>
              <w:top w:w="45" w:type="dxa"/>
              <w:left w:w="85" w:type="dxa"/>
              <w:bottom w:w="45" w:type="dxa"/>
              <w:right w:w="85" w:type="dxa"/>
            </w:tcMar>
          </w:tcPr>
          <w:p>
            <w:pPr>
              <w:spacing w:after="0" w:before="0"/>
            </w:pPr>
            <w:r>
              <w:rPr>
                <w:b/>
                <w:color w:val="FFFFFF"/>
                <w:sz w:val="18"/>
              </w:rPr>
              <w:t xml:space="preserve">Target</w:t>
            </w:r>
          </w:p>
        </w:tc>
      </w:tr>
      <w:tr>
        <w:tc>
          <w:tcPr>
            <w:tcW w:w="4400" w:type="dxa"/>
            <w:tcMar>
              <w:top w:w="45" w:type="dxa"/>
              <w:left w:w="85" w:type="dxa"/>
              <w:bottom w:w="45" w:type="dxa"/>
              <w:right w:w="85" w:type="dxa"/>
            </w:tcMar>
          </w:tcPr>
          <w:p>
            <w:pPr>
              <w:spacing w:after="0" w:before="0"/>
            </w:pPr>
            <w:r>
              <w:rPr>
                <w:b w:val="0"/>
                <w:color w:val="33414F"/>
                <w:sz w:val="18"/>
              </w:rPr>
              <w:t xml:space="preserve">Pathway selected &amp; gated</w:t>
            </w:r>
          </w:p>
        </w:tc>
        <w:tc>
          <w:tcPr>
            <w:tcW w:w="2600" w:type="dxa"/>
            <w:tcMar>
              <w:top w:w="45" w:type="dxa"/>
              <w:left w:w="85" w:type="dxa"/>
              <w:bottom w:w="45" w:type="dxa"/>
              <w:right w:w="85" w:type="dxa"/>
            </w:tcMar>
          </w:tcPr>
          <w:p>
            <w:pPr>
              <w:spacing w:after="0" w:before="0"/>
            </w:pPr>
            <w:r>
              <w:rPr>
                <w:b w:val="0"/>
                <w:color w:val="33414F"/>
                <w:sz w:val="18"/>
              </w:rPr>
              <w:t xml:space="preserve">Exco minute; blueprint issued</w:t>
            </w:r>
          </w:p>
        </w:tc>
        <w:tc>
          <w:tcPr>
            <w:tcW w:w="1800" w:type="dxa"/>
            <w:tcMar>
              <w:top w:w="45" w:type="dxa"/>
              <w:left w:w="85" w:type="dxa"/>
              <w:bottom w:w="45" w:type="dxa"/>
              <w:right w:w="85" w:type="dxa"/>
            </w:tcMar>
          </w:tcPr>
          <w:p>
            <w:pPr>
              <w:spacing w:after="0" w:before="0"/>
            </w:pPr>
            <w:r>
              <w:rPr>
                <w:b w:val="0"/>
                <w:color w:val="33414F"/>
                <w:sz w:val="18"/>
              </w:rPr>
              <w:t xml:space="preserve">Aug 2026</w:t>
            </w:r>
          </w:p>
        </w:tc>
      </w:tr>
      <w:tr>
        <w:tc>
          <w:tcPr>
            <w:tcW w:w="4400" w:type="dxa"/>
            <w:tcMar>
              <w:top w:w="45" w:type="dxa"/>
              <w:left w:w="85" w:type="dxa"/>
              <w:bottom w:w="45" w:type="dxa"/>
              <w:right w:w="85" w:type="dxa"/>
            </w:tcMar>
          </w:tcPr>
          <w:p>
            <w:pPr>
              <w:spacing w:after="0" w:before="0"/>
            </w:pPr>
            <w:r>
              <w:rPr>
                <w:b w:val="0"/>
                <w:color w:val="33414F"/>
                <w:sz w:val="18"/>
              </w:rPr>
              <w:t xml:space="preserve">AWS decommissioned</w:t>
            </w:r>
          </w:p>
        </w:tc>
        <w:tc>
          <w:tcPr>
            <w:tcW w:w="2600" w:type="dxa"/>
            <w:tcMar>
              <w:top w:w="45" w:type="dxa"/>
              <w:left w:w="85" w:type="dxa"/>
              <w:bottom w:w="45" w:type="dxa"/>
              <w:right w:w="85" w:type="dxa"/>
            </w:tcMar>
          </w:tcPr>
          <w:p>
            <w:pPr>
              <w:spacing w:after="0" w:before="0"/>
            </w:pPr>
            <w:r>
              <w:rPr>
                <w:b w:val="0"/>
                <w:color w:val="33414F"/>
                <w:sz w:val="18"/>
              </w:rPr>
              <w:t xml:space="preserve">AWS monthly bill = R 0</w:t>
            </w:r>
          </w:p>
        </w:tc>
        <w:tc>
          <w:tcPr>
            <w:tcW w:w="1800" w:type="dxa"/>
            <w:tcMar>
              <w:top w:w="45" w:type="dxa"/>
              <w:left w:w="85" w:type="dxa"/>
              <w:bottom w:w="45" w:type="dxa"/>
              <w:right w:w="85" w:type="dxa"/>
            </w:tcMar>
          </w:tcPr>
          <w:p>
            <w:pPr>
              <w:spacing w:after="0" w:before="0"/>
            </w:pPr>
            <w:r>
              <w:rPr>
                <w:b w:val="0"/>
                <w:color w:val="33414F"/>
                <w:sz w:val="18"/>
              </w:rPr>
              <w:t xml:space="preserve">31 Oct 2026</w:t>
            </w:r>
          </w:p>
        </w:tc>
      </w:tr>
      <w:tr>
        <w:tc>
          <w:tcPr>
            <w:tcW w:w="4400" w:type="dxa"/>
            <w:tcMar>
              <w:top w:w="45" w:type="dxa"/>
              <w:left w:w="85" w:type="dxa"/>
              <w:bottom w:w="45" w:type="dxa"/>
              <w:right w:w="85" w:type="dxa"/>
            </w:tcMar>
          </w:tcPr>
          <w:p>
            <w:pPr>
              <w:spacing w:after="0" w:before="0"/>
            </w:pPr>
            <w:r>
              <w:rPr>
                <w:b w:val="0"/>
                <w:color w:val="33414F"/>
                <w:sz w:val="18"/>
              </w:rPr>
              <w:t xml:space="preserve">Identity consolidated (F-03)</w:t>
            </w:r>
          </w:p>
        </w:tc>
        <w:tc>
          <w:tcPr>
            <w:tcW w:w="2600" w:type="dxa"/>
            <w:tcMar>
              <w:top w:w="45" w:type="dxa"/>
              <w:left w:w="85" w:type="dxa"/>
              <w:bottom w:w="45" w:type="dxa"/>
              <w:right w:w="85" w:type="dxa"/>
            </w:tcMar>
          </w:tcPr>
          <w:p>
            <w:pPr>
              <w:spacing w:after="0" w:before="0"/>
            </w:pPr>
            <w:r>
              <w:rPr>
                <w:b w:val="0"/>
                <w:color w:val="33414F"/>
                <w:sz w:val="18"/>
              </w:rPr>
              <w:t xml:space="preserve">Active staff in Entra with MFA; accounts rationalised from ±1 000</w:t>
            </w:r>
          </w:p>
        </w:tc>
        <w:tc>
          <w:tcPr>
            <w:tcW w:w="1800" w:type="dxa"/>
            <w:tcMar>
              <w:top w:w="45" w:type="dxa"/>
              <w:left w:w="85" w:type="dxa"/>
              <w:bottom w:w="45" w:type="dxa"/>
              <w:right w:w="85" w:type="dxa"/>
            </w:tcMar>
          </w:tcPr>
          <w:p>
            <w:pPr>
              <w:spacing w:after="0" w:before="0"/>
            </w:pPr>
            <w:r>
              <w:rPr>
                <w:b w:val="0"/>
                <w:color w:val="33414F"/>
                <w:sz w:val="18"/>
              </w:rPr>
              <w:t xml:space="preserve">30 Sep 2026</w:t>
            </w:r>
          </w:p>
        </w:tc>
      </w:tr>
      <w:tr>
        <w:tc>
          <w:tcPr>
            <w:tcW w:w="4400" w:type="dxa"/>
            <w:tcMar>
              <w:top w:w="45" w:type="dxa"/>
              <w:left w:w="85" w:type="dxa"/>
              <w:bottom w:w="45" w:type="dxa"/>
              <w:right w:w="85" w:type="dxa"/>
            </w:tcMar>
          </w:tcPr>
          <w:p>
            <w:pPr>
              <w:spacing w:after="0" w:before="0"/>
            </w:pPr>
            <w:r>
              <w:rPr>
                <w:b w:val="0"/>
                <w:color w:val="33414F"/>
                <w:sz w:val="18"/>
              </w:rPr>
              <w:t xml:space="preserve">P1 findings closed (F-01, F-06)</w:t>
            </w:r>
          </w:p>
        </w:tc>
        <w:tc>
          <w:tcPr>
            <w:tcW w:w="2600" w:type="dxa"/>
            <w:tcMar>
              <w:top w:w="45" w:type="dxa"/>
              <w:left w:w="85" w:type="dxa"/>
              <w:bottom w:w="45" w:type="dxa"/>
              <w:right w:w="85" w:type="dxa"/>
            </w:tcMar>
          </w:tcPr>
          <w:p>
            <w:pPr>
              <w:spacing w:after="0" w:before="0"/>
            </w:pPr>
            <w:r>
              <w:rPr>
                <w:b w:val="0"/>
                <w:color w:val="33414F"/>
                <w:sz w:val="18"/>
              </w:rPr>
              <w:t xml:space="preserve">Supported .NET; SA residency verified on record (§72)</w:t>
            </w:r>
          </w:p>
        </w:tc>
        <w:tc>
          <w:tcPr>
            <w:tcW w:w="1800" w:type="dxa"/>
            <w:tcMar>
              <w:top w:w="45" w:type="dxa"/>
              <w:left w:w="85" w:type="dxa"/>
              <w:bottom w:w="45" w:type="dxa"/>
              <w:right w:w="85" w:type="dxa"/>
            </w:tcMar>
          </w:tcPr>
          <w:p>
            <w:pPr>
              <w:spacing w:after="0" w:before="0"/>
            </w:pPr>
            <w:r>
              <w:rPr>
                <w:b w:val="0"/>
                <w:color w:val="33414F"/>
                <w:sz w:val="18"/>
              </w:rPr>
              <w:t xml:space="preserve">31 Aug 2026</w:t>
            </w:r>
          </w:p>
        </w:tc>
      </w:tr>
      <w:tr>
        <w:tc>
          <w:tcPr>
            <w:tcW w:w="4400" w:type="dxa"/>
            <w:tcMar>
              <w:top w:w="45" w:type="dxa"/>
              <w:left w:w="85" w:type="dxa"/>
              <w:bottom w:w="45" w:type="dxa"/>
              <w:right w:w="85" w:type="dxa"/>
            </w:tcMar>
          </w:tcPr>
          <w:p>
            <w:pPr>
              <w:spacing w:after="0" w:before="0"/>
            </w:pPr>
            <w:r>
              <w:rPr>
                <w:b w:val="0"/>
                <w:color w:val="33414F"/>
                <w:sz w:val="18"/>
              </w:rPr>
              <w:t xml:space="preserve">IA·MCP maturity climb</w:t>
            </w:r>
          </w:p>
        </w:tc>
        <w:tc>
          <w:tcPr>
            <w:tcW w:w="2600" w:type="dxa"/>
            <w:tcMar>
              <w:top w:w="45" w:type="dxa"/>
              <w:left w:w="85" w:type="dxa"/>
              <w:bottom w:w="45" w:type="dxa"/>
              <w:right w:w="85" w:type="dxa"/>
            </w:tcMar>
          </w:tcPr>
          <w:p>
            <w:pPr>
              <w:spacing w:after="0" w:before="0"/>
            </w:pPr>
            <w:r>
              <w:rPr>
                <w:b w:val="0"/>
                <w:color w:val="33414F"/>
                <w:sz w:val="18"/>
              </w:rPr>
              <w:t xml:space="preserve">From 33.7 / 49.1 (Grade F) — 4 consecutive green weekly reports</w:t>
            </w:r>
          </w:p>
        </w:tc>
        <w:tc>
          <w:tcPr>
            <w:tcW w:w="1800" w:type="dxa"/>
            <w:tcMar>
              <w:top w:w="45" w:type="dxa"/>
              <w:left w:w="85" w:type="dxa"/>
              <w:bottom w:w="45" w:type="dxa"/>
              <w:right w:w="85" w:type="dxa"/>
            </w:tcMar>
          </w:tcPr>
          <w:p>
            <w:pPr>
              <w:spacing w:after="0" w:before="0"/>
            </w:pPr>
            <w:r>
              <w:rPr>
                <w:b w:val="0"/>
                <w:color w:val="33414F"/>
                <w:sz w:val="18"/>
              </w:rPr>
              <w:t xml:space="preserve">Nov 2026</w:t>
            </w:r>
          </w:p>
        </w:tc>
      </w:tr>
      <w:tr>
        <w:tc>
          <w:tcPr>
            <w:tcW w:w="4400" w:type="dxa"/>
            <w:tcMar>
              <w:top w:w="45" w:type="dxa"/>
              <w:left w:w="85" w:type="dxa"/>
              <w:bottom w:w="45" w:type="dxa"/>
              <w:right w:w="85" w:type="dxa"/>
            </w:tcMar>
          </w:tcPr>
          <w:p>
            <w:pPr>
              <w:spacing w:after="0" w:before="0"/>
            </w:pPr>
            <w:r>
              <w:rPr>
                <w:b w:val="0"/>
                <w:color w:val="33414F"/>
                <w:sz w:val="18"/>
              </w:rPr>
              <w:t xml:space="preserve">Backup &amp; DR proven</w:t>
            </w:r>
          </w:p>
        </w:tc>
        <w:tc>
          <w:tcPr>
            <w:tcW w:w="2600" w:type="dxa"/>
            <w:tcMar>
              <w:top w:w="45" w:type="dxa"/>
              <w:left w:w="85" w:type="dxa"/>
              <w:bottom w:w="45" w:type="dxa"/>
              <w:right w:w="85" w:type="dxa"/>
            </w:tcMar>
          </w:tcPr>
          <w:p>
            <w:pPr>
              <w:spacing w:after="0" w:before="0"/>
            </w:pPr>
            <w:r>
              <w:rPr>
                <w:b w:val="0"/>
                <w:color w:val="33414F"/>
                <w:sz w:val="18"/>
              </w:rPr>
              <w:t xml:space="preserve">Documented restore test</w:t>
            </w:r>
          </w:p>
        </w:tc>
        <w:tc>
          <w:tcPr>
            <w:tcW w:w="1800" w:type="dxa"/>
            <w:tcMar>
              <w:top w:w="45" w:type="dxa"/>
              <w:left w:w="85" w:type="dxa"/>
              <w:bottom w:w="45" w:type="dxa"/>
              <w:right w:w="85" w:type="dxa"/>
            </w:tcMar>
          </w:tcPr>
          <w:p>
            <w:pPr>
              <w:spacing w:after="0" w:before="0"/>
            </w:pPr>
            <w:r>
              <w:rPr>
                <w:b w:val="0"/>
                <w:color w:val="33414F"/>
                <w:sz w:val="18"/>
              </w:rPr>
              <w:t xml:space="preserve">30 Sep 2026, then monthly</w:t>
            </w:r>
          </w:p>
        </w:tc>
      </w:tr>
      <w:tr>
        <w:tc>
          <w:tcPr>
            <w:tcW w:w="4400" w:type="dxa"/>
            <w:tcMar>
              <w:top w:w="45" w:type="dxa"/>
              <w:left w:w="85" w:type="dxa"/>
              <w:bottom w:w="45" w:type="dxa"/>
              <w:right w:w="85" w:type="dxa"/>
            </w:tcMar>
          </w:tcPr>
          <w:p>
            <w:pPr>
              <w:spacing w:after="0" w:before="0"/>
            </w:pPr>
            <w:r>
              <w:rPr>
                <w:b w:val="0"/>
                <w:color w:val="33414F"/>
                <w:sz w:val="18"/>
              </w:rPr>
              <w:t xml:space="preserve">Email security consolidated (F-02)</w:t>
            </w:r>
          </w:p>
        </w:tc>
        <w:tc>
          <w:tcPr>
            <w:tcW w:w="2600" w:type="dxa"/>
            <w:tcMar>
              <w:top w:w="45" w:type="dxa"/>
              <w:left w:w="85" w:type="dxa"/>
              <w:bottom w:w="45" w:type="dxa"/>
              <w:right w:w="85" w:type="dxa"/>
            </w:tcMar>
          </w:tcPr>
          <w:p>
            <w:pPr>
              <w:spacing w:after="0" w:before="0"/>
            </w:pPr>
            <w:r>
              <w:rPr>
                <w:b w:val="0"/>
                <w:color w:val="33414F"/>
                <w:sz w:val="18"/>
              </w:rPr>
              <w:t xml:space="preserve">Mimecast exited; ~200 mailboxes covered</w:t>
            </w:r>
          </w:p>
        </w:tc>
        <w:tc>
          <w:tcPr>
            <w:tcW w:w="1800" w:type="dxa"/>
            <w:tcMar>
              <w:top w:w="45" w:type="dxa"/>
              <w:left w:w="85" w:type="dxa"/>
              <w:bottom w:w="45" w:type="dxa"/>
              <w:right w:w="85" w:type="dxa"/>
            </w:tcMar>
          </w:tcPr>
          <w:p>
            <w:pPr>
              <w:spacing w:after="0" w:before="0"/>
            </w:pPr>
            <w:r>
              <w:rPr>
                <w:b w:val="0"/>
                <w:color w:val="33414F"/>
                <w:sz w:val="18"/>
              </w:rPr>
              <w:t xml:space="preserve">On notice expiry</w:t>
            </w:r>
          </w:p>
        </w:tc>
      </w:tr>
      <w:tr>
        <w:tc>
          <w:tcPr>
            <w:tcW w:w="4400" w:type="dxa"/>
            <w:tcMar>
              <w:top w:w="45" w:type="dxa"/>
              <w:left w:w="85" w:type="dxa"/>
              <w:bottom w:w="45" w:type="dxa"/>
              <w:right w:w="85" w:type="dxa"/>
            </w:tcMar>
          </w:tcPr>
          <w:p>
            <w:pPr>
              <w:spacing w:after="0" w:before="0"/>
            </w:pPr>
            <w:r>
              <w:rPr>
                <w:b w:val="0"/>
                <w:color w:val="33414F"/>
                <w:sz w:val="18"/>
              </w:rPr>
              <w:t xml:space="preserve">ERP live (F-05)</w:t>
            </w:r>
          </w:p>
        </w:tc>
        <w:tc>
          <w:tcPr>
            <w:tcW w:w="2600" w:type="dxa"/>
            <w:tcMar>
              <w:top w:w="45" w:type="dxa"/>
              <w:left w:w="85" w:type="dxa"/>
              <w:bottom w:w="45" w:type="dxa"/>
              <w:right w:w="85" w:type="dxa"/>
            </w:tcMar>
          </w:tcPr>
          <w:p>
            <w:pPr>
              <w:spacing w:after="0" w:before="0"/>
            </w:pPr>
            <w:r>
              <w:rPr>
                <w:b w:val="0"/>
                <w:color w:val="33414F"/>
                <w:sz w:val="18"/>
              </w:rPr>
              <w:t xml:space="preserve">Single ERP; first parallel payrun reconciled</w:t>
            </w:r>
          </w:p>
        </w:tc>
        <w:tc>
          <w:tcPr>
            <w:tcW w:w="1800" w:type="dxa"/>
            <w:tcMar>
              <w:top w:w="45" w:type="dxa"/>
              <w:left w:w="85" w:type="dxa"/>
              <w:bottom w:w="45" w:type="dxa"/>
              <w:right w:w="85" w:type="dxa"/>
            </w:tcMar>
          </w:tcPr>
          <w:p>
            <w:pPr>
              <w:spacing w:after="0" w:before="0"/>
            </w:pPr>
            <w:r>
              <w:rPr>
                <w:b w:val="0"/>
                <w:color w:val="33414F"/>
                <w:sz w:val="18"/>
              </w:rPr>
              <w:t xml:space="preserve">Nov–Dec 2026</w:t>
            </w:r>
          </w:p>
        </w:tc>
      </w:tr>
      <w:tr>
        <w:tc>
          <w:tcPr>
            <w:tcW w:w="4400" w:type="dxa"/>
            <w:tcMar>
              <w:top w:w="45" w:type="dxa"/>
              <w:left w:w="85" w:type="dxa"/>
              <w:bottom w:w="45" w:type="dxa"/>
              <w:right w:w="85" w:type="dxa"/>
            </w:tcMar>
          </w:tcPr>
          <w:p>
            <w:pPr>
              <w:spacing w:after="0" w:before="0"/>
            </w:pPr>
            <w:r>
              <w:rPr>
                <w:b w:val="0"/>
                <w:color w:val="33414F"/>
                <w:sz w:val="18"/>
              </w:rPr>
              <w:t xml:space="preserve">NACOSA dashboard live</w:t>
            </w:r>
          </w:p>
        </w:tc>
        <w:tc>
          <w:tcPr>
            <w:tcW w:w="2600" w:type="dxa"/>
            <w:tcMar>
              <w:top w:w="45" w:type="dxa"/>
              <w:left w:w="85" w:type="dxa"/>
              <w:bottom w:w="45" w:type="dxa"/>
              <w:right w:w="85" w:type="dxa"/>
            </w:tcMar>
          </w:tcPr>
          <w:p>
            <w:pPr>
              <w:spacing w:after="0" w:before="0"/>
            </w:pPr>
            <w:r>
              <w:rPr>
                <w:b w:val="0"/>
                <w:color w:val="33414F"/>
                <w:sz w:val="18"/>
              </w:rPr>
              <w:t xml:space="preserve">Funder-ready, governed, cited answers</w:t>
            </w:r>
          </w:p>
        </w:tc>
        <w:tc>
          <w:tcPr>
            <w:tcW w:w="1800" w:type="dxa"/>
            <w:tcMar>
              <w:top w:w="45" w:type="dxa"/>
              <w:left w:w="85" w:type="dxa"/>
              <w:bottom w:w="45" w:type="dxa"/>
              <w:right w:w="85" w:type="dxa"/>
            </w:tcMar>
          </w:tcPr>
          <w:p>
            <w:pPr>
              <w:spacing w:after="0" w:before="0"/>
            </w:pPr>
            <w:r>
              <w:rPr>
                <w:b w:val="0"/>
                <w:color w:val="33414F"/>
                <w:sz w:val="18"/>
              </w:rPr>
              <w:t xml:space="preserve">Oct 2026</w:t>
            </w:r>
          </w:p>
        </w:tc>
      </w:tr>
      <w:tr>
        <w:tc>
          <w:tcPr>
            <w:tcW w:w="4400" w:type="dxa"/>
            <w:tcMar>
              <w:top w:w="45" w:type="dxa"/>
              <w:left w:w="85" w:type="dxa"/>
              <w:bottom w:w="45" w:type="dxa"/>
              <w:right w:w="85" w:type="dxa"/>
            </w:tcMar>
          </w:tcPr>
          <w:p>
            <w:pPr>
              <w:spacing w:after="0" w:before="0"/>
            </w:pPr>
            <w:r>
              <w:rPr>
                <w:b w:val="0"/>
                <w:color w:val="33414F"/>
                <w:sz w:val="18"/>
              </w:rPr>
              <w:t xml:space="preserve">AI governance operational</w:t>
            </w:r>
          </w:p>
        </w:tc>
        <w:tc>
          <w:tcPr>
            <w:tcW w:w="2600" w:type="dxa"/>
            <w:tcMar>
              <w:top w:w="45" w:type="dxa"/>
              <w:left w:w="85" w:type="dxa"/>
              <w:bottom w:w="45" w:type="dxa"/>
              <w:right w:w="85" w:type="dxa"/>
            </w:tcMar>
          </w:tcPr>
          <w:p>
            <w:pPr>
              <w:spacing w:after="0" w:before="0"/>
            </w:pPr>
            <w:r>
              <w:rPr>
                <w:b w:val="0"/>
                <w:color w:val="33414F"/>
                <w:sz w:val="18"/>
              </w:rPr>
              <w:t xml:space="preserve">SOP-09 intake live; tool register populated; declarations signed</w:t>
            </w:r>
          </w:p>
        </w:tc>
        <w:tc>
          <w:tcPr>
            <w:tcW w:w="1800" w:type="dxa"/>
            <w:tcMar>
              <w:top w:w="45" w:type="dxa"/>
              <w:left w:w="85" w:type="dxa"/>
              <w:bottom w:w="45" w:type="dxa"/>
              <w:right w:w="85" w:type="dxa"/>
            </w:tcMar>
          </w:tcPr>
          <w:p>
            <w:pPr>
              <w:spacing w:after="0" w:before="0"/>
            </w:pPr>
            <w:r>
              <w:rPr>
                <w:b w:val="0"/>
                <w:color w:val="33414F"/>
                <w:sz w:val="18"/>
              </w:rPr>
              <w:t xml:space="preserve">Sep 2026</w:t>
            </w:r>
          </w:p>
        </w:tc>
      </w:tr>
      <w:tr>
        <w:tc>
          <w:tcPr>
            <w:tcW w:w="4400" w:type="dxa"/>
            <w:tcMar>
              <w:top w:w="45" w:type="dxa"/>
              <w:left w:w="85" w:type="dxa"/>
              <w:bottom w:w="45" w:type="dxa"/>
              <w:right w:w="85" w:type="dxa"/>
            </w:tcMar>
          </w:tcPr>
          <w:p>
            <w:pPr>
              <w:spacing w:after="0" w:before="0"/>
            </w:pPr>
            <w:r>
              <w:rPr>
                <w:b w:val="0"/>
                <w:color w:val="33414F"/>
                <w:sz w:val="18"/>
              </w:rPr>
              <w:t xml:space="preserve">DOME build gate</w:t>
            </w:r>
          </w:p>
        </w:tc>
        <w:tc>
          <w:tcPr>
            <w:tcW w:w="2600" w:type="dxa"/>
            <w:tcMar>
              <w:top w:w="45" w:type="dxa"/>
              <w:left w:w="85" w:type="dxa"/>
              <w:bottom w:w="45" w:type="dxa"/>
              <w:right w:w="85" w:type="dxa"/>
            </w:tcMar>
          </w:tcPr>
          <w:p>
            <w:pPr>
              <w:spacing w:after="0" w:before="0"/>
            </w:pPr>
            <w:r>
              <w:rPr>
                <w:b w:val="0"/>
                <w:color w:val="33414F"/>
                <w:sz w:val="18"/>
              </w:rPr>
              <w:t xml:space="preserve">Scoped, sized, priced; Exco go/no-go</w:t>
            </w:r>
          </w:p>
        </w:tc>
        <w:tc>
          <w:tcPr>
            <w:tcW w:w="1800" w:type="dxa"/>
            <w:tcMar>
              <w:top w:w="45" w:type="dxa"/>
              <w:left w:w="85" w:type="dxa"/>
              <w:bottom w:w="45" w:type="dxa"/>
              <w:right w:w="85" w:type="dxa"/>
            </w:tcMar>
          </w:tcPr>
          <w:p>
            <w:pPr>
              <w:spacing w:after="0" w:before="0"/>
            </w:pPr>
            <w:r>
              <w:rPr>
                <w:b w:val="0"/>
                <w:color w:val="33414F"/>
                <w:sz w:val="18"/>
              </w:rPr>
              <w:t xml:space="preserve">30 Nov 2026</w:t>
            </w:r>
          </w:p>
        </w:tc>
      </w:tr>
      <w:tr>
        <w:tc>
          <w:tcPr>
            <w:tcW w:w="4400" w:type="dxa"/>
            <w:tcMar>
              <w:top w:w="45" w:type="dxa"/>
              <w:left w:w="85" w:type="dxa"/>
              <w:bottom w:w="45" w:type="dxa"/>
              <w:right w:w="85" w:type="dxa"/>
            </w:tcMar>
          </w:tcPr>
          <w:p>
            <w:pPr>
              <w:spacing w:after="0" w:before="0"/>
            </w:pPr>
            <w:r>
              <w:rPr>
                <w:b w:val="0"/>
                <w:color w:val="33414F"/>
                <w:sz w:val="18"/>
              </w:rPr>
              <w:t xml:space="preserve">Savings realised</w:t>
            </w:r>
          </w:p>
        </w:tc>
        <w:tc>
          <w:tcPr>
            <w:tcW w:w="2600" w:type="dxa"/>
            <w:tcMar>
              <w:top w:w="45" w:type="dxa"/>
              <w:left w:w="85" w:type="dxa"/>
              <w:bottom w:w="45" w:type="dxa"/>
              <w:right w:w="85" w:type="dxa"/>
            </w:tcMar>
          </w:tcPr>
          <w:p>
            <w:pPr>
              <w:spacing w:after="0" w:before="0"/>
            </w:pPr>
            <w:r>
              <w:rPr>
                <w:b w:val="0"/>
                <w:color w:val="33414F"/>
                <w:sz w:val="18"/>
              </w:rPr>
              <w:t xml:space="preserve">Addressable share of R1 244 000 baseline captured (per commercial pack)</w:t>
            </w:r>
          </w:p>
        </w:tc>
        <w:tc>
          <w:tcPr>
            <w:tcW w:w="1800" w:type="dxa"/>
            <w:tcMar>
              <w:top w:w="45" w:type="dxa"/>
              <w:left w:w="85" w:type="dxa"/>
              <w:bottom w:w="45" w:type="dxa"/>
              <w:right w:w="85" w:type="dxa"/>
            </w:tcMar>
          </w:tcPr>
          <w:p>
            <w:pPr>
              <w:spacing w:after="0" w:before="0"/>
            </w:pPr>
            <w:r>
              <w:rPr>
                <w:b w:val="0"/>
                <w:color w:val="33414F"/>
                <w:sz w:val="18"/>
              </w:rPr>
              <w:t xml:space="preserve">FY 2027</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19. Linked Resources &amp; References</w:t>
      </w:r>
    </w:p>
    <w:p>
      <w:pPr>
        <w:spacing w:after="60"/>
        <w:ind w:left="360"/>
      </w:pPr>
      <w:hyperlink r:id="rIdH1">
        <w:r>
          <w:rPr>
            <w:rtl w:val="0"/>
            <w:color w:val="0B66C2"/>
            <w:u w:val="single"/>
          </w:rPr>
          <w:t>Miro board — audit mindmap, migration roadmap, action tracker</w:t>
        </w:r>
      </w:hyperlink>
    </w:p>
    <w:p>
      <w:pPr>
        <w:spacing w:after="60"/>
        <w:ind w:left="360"/>
      </w:pPr>
      <w:hyperlink r:id="rIdH2">
        <w:r>
          <w:rPr>
            <w:rtl w:val="0"/>
            <w:color w:val="0B66C2"/>
            <w:u w:val="single"/>
          </w:rPr>
          <w:t>Canva infographic — audit mindmap one-pager</w:t>
        </w:r>
      </w:hyperlink>
    </w:p>
    <w:p>
      <w:pPr>
        <w:spacing w:after="60"/>
        <w:ind w:left="360"/>
      </w:pPr>
      <w:hyperlink r:id="rIdH3">
        <w:r>
          <w:rPr>
            <w:rtl w:val="0"/>
            <w:color w:val="0B66C2"/>
            <w:u w:val="single"/>
          </w:rPr>
          <w:t>Notion meeting note — IT Audit Review (22 July 2026)</w:t>
        </w:r>
      </w:hyperlink>
    </w:p>
    <w:p>
      <w:pPr>
        <w:spacing w:after="60"/>
        <w:ind w:left="360"/>
      </w:pPr>
      <w:hyperlink r:id="rIdH4">
        <w:r>
          <w:rPr>
            <w:rtl w:val="0"/>
            <w:color w:val="0B66C2"/>
            <w:u w:val="single"/>
          </w:rPr>
          <w:t>Google Drive — meeting note backup</w:t>
        </w:r>
      </w:hyperlink>
    </w:p>
    <w:p>
      <w:pPr>
        <w:spacing w:after="60"/>
        <w:ind w:left="360"/>
      </w:pPr>
      <w:hyperlink r:id="rIdH5">
        <w:r>
          <w:rPr>
            <w:rtl w:val="0"/>
            <w:color w:val="0B66C2"/>
            <w:u w:val="single"/>
          </w:rPr>
          <w:t>Ionity Global — www.ionity.today</w:t>
        </w:r>
      </w:hyperlink>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Source record: SOW; IT Audit Scope Reference v1.0 (10 pillars + 5 foundations); quotations ION-QUO-SHOUT-2026-001 v3/v5 &amp; MULTI and 002; QTE-2026-002 Compliance Interview Questionnaire; AI Governance Pack 2026 S^F1 (Parts A–J + annexures); TOPEND_INDEX V2 (DOC-2026-07-021, 160-file repository); System Assessment workbook (Apr 2026); Final Report SPINE v0.2; A1C Finance &amp; HR Audit; Website Audit SIN-WEB-2026-R01 v1.4; Technical Architecture Report (Jul 2026); Datawarehouse Proposal v3.0 (GCT 2024); project tracker; meeting record ION-MMR-2026-01…21; ION-MR-2026-004 v1.2; Progress Sign-Off Sheet V1.0; Mutual NDA v1.2; SLA v1.0.</w:t>
      </w:r>
    </w:p>
    <w:p w:rsidR="00000000" w:rsidDel="00000000" w:rsidP="00000000" w:rsidRDefault="00000000" w:rsidRPr="00000000" w14:paraId="00000072">
      <w:pPr>
        <w:spacing w:after="120" w:before="120" w:lineRule="auto"/>
        <w:rPr/>
      </w:pPr>
      <w:r w:rsidDel="00000000" w:rsidR="00000000" w:rsidRPr="00000000">
        <w:rPr>
          <w:rtl w:val="0"/>
        </w:rPr>
        <w:tab/>
        <w:tab/>
        <w:tab/>
        <w:tab/>
        <w:tab/>
        <w:t xml:space="preserve">Visual pack embedded in this document: relations mindmap; five-pathways map; DOME backbone panel; consolidation destiny map; Ionity hosting topology &amp; tiers; target architecture; implementation Gantt; exit flow; SOP cycle; baseline cost chart; and the client’s own current-state architecture record. Companion visuals: the Canva mindmap infographic (linked above, with three alternate layouts in the Canva account) and the live Miro working board — both part of the handover.</w:t>
      </w: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Appendix A — Document Control &amp; Provenance</w:t>
      </w:r>
    </w:p>
    <w:tbl>
      <w:tblPr>
        <w:tblW w:w="88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600"/>
        <w:gridCol w:w="6200"/>
      </w:tblGrid>
      <w:tr>
        <w:tc>
          <w:tcPr>
            <w:tcW w:w="2600" w:type="dxa"/>
            <w:shd w:val="clear" w:color="auto" w:fill="0D2137"/>
            <w:tcMar>
              <w:top w:w="45" w:type="dxa"/>
              <w:left w:w="85" w:type="dxa"/>
              <w:bottom w:w="45" w:type="dxa"/>
              <w:right w:w="85" w:type="dxa"/>
            </w:tcMar>
          </w:tcPr>
          <w:p>
            <w:pPr>
              <w:spacing w:after="0" w:before="0"/>
            </w:pPr>
            <w:r>
              <w:rPr>
                <w:b/>
                <w:color w:val="FFFFFF"/>
                <w:sz w:val="18"/>
              </w:rPr>
              <w:t xml:space="preserve">Field</w:t>
            </w:r>
          </w:p>
        </w:tc>
        <w:tc>
          <w:tcPr>
            <w:tcW w:w="6200" w:type="dxa"/>
            <w:shd w:val="clear" w:color="auto" w:fill="0D2137"/>
            <w:tcMar>
              <w:top w:w="45" w:type="dxa"/>
              <w:left w:w="85" w:type="dxa"/>
              <w:bottom w:w="45" w:type="dxa"/>
              <w:right w:w="85" w:type="dxa"/>
            </w:tcMar>
          </w:tcPr>
          <w:p>
            <w:pPr>
              <w:spacing w:after="0" w:before="0"/>
            </w:pPr>
            <w:r>
              <w:rPr>
                <w:b/>
                <w:color w:val="FFFFFF"/>
                <w:sz w:val="18"/>
              </w:rPr>
              <w:t xml:space="preserve">Value</w:t>
            </w:r>
          </w:p>
        </w:tc>
      </w:tr>
      <w:tr>
        <w:tc>
          <w:tcPr>
            <w:tcW w:w="2600" w:type="dxa"/>
            <w:tcMar>
              <w:top w:w="45" w:type="dxa"/>
              <w:left w:w="85" w:type="dxa"/>
              <w:bottom w:w="45" w:type="dxa"/>
              <w:right w:w="85" w:type="dxa"/>
            </w:tcMar>
          </w:tcPr>
          <w:p>
            <w:pPr>
              <w:spacing w:after="0" w:before="0"/>
            </w:pPr>
            <w:r>
              <w:rPr>
                <w:b w:val="0"/>
                <w:color w:val="33414F"/>
                <w:sz w:val="18"/>
              </w:rPr>
              <w:t xml:space="preserve">Document</w:t>
            </w:r>
          </w:p>
        </w:tc>
        <w:tc>
          <w:tcPr>
            <w:tcW w:w="6200" w:type="dxa"/>
            <w:tcMar>
              <w:top w:w="45" w:type="dxa"/>
              <w:left w:w="85" w:type="dxa"/>
              <w:bottom w:w="45" w:type="dxa"/>
              <w:right w:w="85" w:type="dxa"/>
            </w:tcMar>
          </w:tcPr>
          <w:p>
            <w:pPr>
              <w:spacing w:after="0" w:before="0"/>
            </w:pPr>
            <w:r>
              <w:rPr>
                <w:b w:val="0"/>
                <w:color w:val="33414F"/>
                <w:sz w:val="18"/>
              </w:rPr>
              <w:t xml:space="preserve">Implementation Roadmap (IR) — SHOUT-IT-NOW</w:t>
            </w:r>
          </w:p>
        </w:tc>
      </w:tr>
      <w:tr>
        <w:tc>
          <w:tcPr>
            <w:tcW w:w="2600" w:type="dxa"/>
            <w:tcMar>
              <w:top w:w="45" w:type="dxa"/>
              <w:left w:w="85" w:type="dxa"/>
              <w:bottom w:w="45" w:type="dxa"/>
              <w:right w:w="85" w:type="dxa"/>
            </w:tcMar>
          </w:tcPr>
          <w:p>
            <w:pPr>
              <w:spacing w:after="0" w:before="0"/>
            </w:pPr>
            <w:r>
              <w:rPr>
                <w:b w:val="0"/>
                <w:color w:val="33414F"/>
                <w:sz w:val="18"/>
              </w:rPr>
              <w:t xml:space="preserve">Reference</w:t>
            </w:r>
          </w:p>
        </w:tc>
        <w:tc>
          <w:tcPr>
            <w:tcW w:w="6200" w:type="dxa"/>
            <w:tcMar>
              <w:top w:w="45" w:type="dxa"/>
              <w:left w:w="85" w:type="dxa"/>
              <w:bottom w:w="45" w:type="dxa"/>
              <w:right w:w="85" w:type="dxa"/>
            </w:tcMar>
          </w:tcPr>
          <w:p>
            <w:pPr>
              <w:spacing w:after="0" w:before="0"/>
            </w:pPr>
            <w:r>
              <w:rPr>
                <w:b w:val="0"/>
                <w:color w:val="33414F"/>
                <w:sz w:val="18"/>
              </w:rPr>
              <w:t xml:space="preserve">ION-IR-2026-001 · Version 4.0 (FINAL) · 22 July 2026 · Engagement Q021-SN01-AD1-26D / QTE-2026-002</w:t>
            </w:r>
          </w:p>
        </w:tc>
      </w:tr>
      <w:tr>
        <w:tc>
          <w:tcPr>
            <w:tcW w:w="2600" w:type="dxa"/>
            <w:tcMar>
              <w:top w:w="45" w:type="dxa"/>
              <w:left w:w="85" w:type="dxa"/>
              <w:bottom w:w="45" w:type="dxa"/>
              <w:right w:w="85" w:type="dxa"/>
            </w:tcMar>
          </w:tcPr>
          <w:p>
            <w:pPr>
              <w:spacing w:after="0" w:before="0"/>
            </w:pPr>
            <w:r>
              <w:rPr>
                <w:b w:val="0"/>
                <w:color w:val="33414F"/>
                <w:sz w:val="18"/>
              </w:rPr>
              <w:t xml:space="preserve">Classification</w:t>
            </w:r>
          </w:p>
        </w:tc>
        <w:tc>
          <w:tcPr>
            <w:tcW w:w="6200" w:type="dxa"/>
            <w:tcMar>
              <w:top w:w="45" w:type="dxa"/>
              <w:left w:w="85" w:type="dxa"/>
              <w:bottom w:w="45" w:type="dxa"/>
              <w:right w:w="85" w:type="dxa"/>
            </w:tcMar>
          </w:tcPr>
          <w:p>
            <w:pPr>
              <w:spacing w:after="0" w:before="0"/>
            </w:pPr>
            <w:r>
              <w:rPr>
                <w:b w:val="0"/>
                <w:color w:val="33414F"/>
                <w:sz w:val="18"/>
              </w:rPr>
              <w:t xml:space="preserve">CONFIDENTIAL — Policy 986 AED</w:t>
            </w:r>
          </w:p>
        </w:tc>
      </w:tr>
      <w:tr>
        <w:tc>
          <w:tcPr>
            <w:tcW w:w="2600" w:type="dxa"/>
            <w:tcMar>
              <w:top w:w="45" w:type="dxa"/>
              <w:left w:w="85" w:type="dxa"/>
              <w:bottom w:w="45" w:type="dxa"/>
              <w:right w:w="85" w:type="dxa"/>
            </w:tcMar>
          </w:tcPr>
          <w:p>
            <w:pPr>
              <w:spacing w:after="0" w:before="0"/>
            </w:pPr>
            <w:r>
              <w:rPr>
                <w:b w:val="0"/>
                <w:color w:val="33414F"/>
                <w:sz w:val="18"/>
              </w:rPr>
              <w:t xml:space="preserve">Author</w:t>
            </w:r>
          </w:p>
        </w:tc>
        <w:tc>
          <w:tcPr>
            <w:tcW w:w="6200" w:type="dxa"/>
            <w:tcMar>
              <w:top w:w="45" w:type="dxa"/>
              <w:left w:w="85" w:type="dxa"/>
              <w:bottom w:w="45" w:type="dxa"/>
              <w:right w:w="85" w:type="dxa"/>
            </w:tcMar>
          </w:tcPr>
          <w:p>
            <w:pPr>
              <w:spacing w:after="0" w:before="0"/>
            </w:pPr>
            <w:r>
              <w:rPr>
                <w:b w:val="0"/>
                <w:color w:val="33414F"/>
                <w:sz w:val="18"/>
              </w:rPr>
              <w:t xml:space="preserve">Johan Wilhelm van Antwerp — Ionity Global (Pty) Ltd (AEDi)</w:t>
            </w:r>
          </w:p>
        </w:tc>
      </w:tr>
      <w:tr>
        <w:tc>
          <w:tcPr>
            <w:tcW w:w="2600" w:type="dxa"/>
            <w:tcMar>
              <w:top w:w="45" w:type="dxa"/>
              <w:left w:w="85" w:type="dxa"/>
              <w:bottom w:w="45" w:type="dxa"/>
              <w:right w:w="85" w:type="dxa"/>
            </w:tcMar>
          </w:tcPr>
          <w:p>
            <w:pPr>
              <w:spacing w:after="0" w:before="0"/>
            </w:pPr>
            <w:r>
              <w:rPr>
                <w:b w:val="0"/>
                <w:color w:val="33414F"/>
                <w:sz w:val="18"/>
              </w:rPr>
              <w:t xml:space="preserve">Team</w:t>
            </w:r>
          </w:p>
        </w:tc>
        <w:tc>
          <w:tcPr>
            <w:tcW w:w="6200" w:type="dxa"/>
            <w:tcMar>
              <w:top w:w="45" w:type="dxa"/>
              <w:left w:w="85" w:type="dxa"/>
              <w:bottom w:w="45" w:type="dxa"/>
              <w:right w:w="85" w:type="dxa"/>
            </w:tcMar>
          </w:tcPr>
          <w:p>
            <w:pPr>
              <w:spacing w:after="0" w:before="0"/>
            </w:pPr>
            <w:r>
              <w:rPr>
                <w:b w:val="0"/>
                <w:color w:val="33414F"/>
                <w:sz w:val="18"/>
              </w:rPr>
              <w:t xml:space="preserve">Ian Raven · Dennis Grobler · Mike Kandolo · Robin du Toit</w:t>
            </w:r>
          </w:p>
        </w:tc>
      </w:tr>
      <w:tr>
        <w:tc>
          <w:tcPr>
            <w:tcW w:w="2600" w:type="dxa"/>
            <w:tcMar>
              <w:top w:w="45" w:type="dxa"/>
              <w:left w:w="85" w:type="dxa"/>
              <w:bottom w:w="45" w:type="dxa"/>
              <w:right w:w="85" w:type="dxa"/>
            </w:tcMar>
          </w:tcPr>
          <w:p>
            <w:pPr>
              <w:spacing w:after="0" w:before="0"/>
            </w:pPr>
            <w:r>
              <w:rPr>
                <w:b w:val="0"/>
                <w:color w:val="33414F"/>
                <w:sz w:val="18"/>
              </w:rPr>
              <w:t xml:space="preserve">Contact</w:t>
            </w:r>
          </w:p>
        </w:tc>
        <w:tc>
          <w:tcPr>
            <w:tcW w:w="6200" w:type="dxa"/>
            <w:tcMar>
              <w:top w:w="45" w:type="dxa"/>
              <w:left w:w="85" w:type="dxa"/>
              <w:bottom w:w="45" w:type="dxa"/>
              <w:right w:w="85" w:type="dxa"/>
            </w:tcMar>
          </w:tcPr>
          <w:p>
            <w:pPr>
              <w:spacing w:after="0" w:before="0"/>
            </w:pPr>
            <w:r>
              <w:rPr>
                <w:b w:val="0"/>
                <w:color w:val="33414F"/>
                <w:sz w:val="18"/>
              </w:rPr>
              <w:t xml:space="preserve">ai@ionity.today · www.ionity.today · +27 64 699 9877</w:t>
            </w:r>
          </w:p>
        </w:tc>
      </w:tr>
      <w:tr>
        <w:tc>
          <w:tcPr>
            <w:tcW w:w="2600" w:type="dxa"/>
            <w:tcMar>
              <w:top w:w="45" w:type="dxa"/>
              <w:left w:w="85" w:type="dxa"/>
              <w:bottom w:w="45" w:type="dxa"/>
              <w:right w:w="85" w:type="dxa"/>
            </w:tcMar>
          </w:tcPr>
          <w:p>
            <w:pPr>
              <w:spacing w:after="0" w:before="0"/>
            </w:pPr>
            <w:r>
              <w:rPr>
                <w:b w:val="0"/>
                <w:color w:val="33414F"/>
                <w:sz w:val="18"/>
              </w:rPr>
              <w:t xml:space="preserve">Prepared for</w:t>
            </w:r>
          </w:p>
        </w:tc>
        <w:tc>
          <w:tcPr>
            <w:tcW w:w="6200" w:type="dxa"/>
            <w:tcMar>
              <w:top w:w="45" w:type="dxa"/>
              <w:left w:w="85" w:type="dxa"/>
              <w:bottom w:w="45" w:type="dxa"/>
              <w:right w:w="85" w:type="dxa"/>
            </w:tcMar>
          </w:tcPr>
          <w:p>
            <w:pPr>
              <w:spacing w:after="0" w:before="0"/>
            </w:pPr>
            <w:r>
              <w:rPr>
                <w:b w:val="0"/>
                <w:color w:val="33414F"/>
                <w:sz w:val="18"/>
              </w:rPr>
              <w:t xml:space="preserve">SHOUT-IT-NOW — SPOC: Neetin Daya · CEO: Dr Ntombifikile Mtshali</w:t>
            </w:r>
          </w:p>
        </w:tc>
      </w:tr>
      <w:tr>
        <w:tc>
          <w:tcPr>
            <w:tcW w:w="2600" w:type="dxa"/>
            <w:tcMar>
              <w:top w:w="45" w:type="dxa"/>
              <w:left w:w="85" w:type="dxa"/>
              <w:bottom w:w="45" w:type="dxa"/>
              <w:right w:w="85" w:type="dxa"/>
            </w:tcMar>
          </w:tcPr>
          <w:p>
            <w:pPr>
              <w:spacing w:after="0" w:before="0"/>
            </w:pPr>
            <w:r>
              <w:rPr>
                <w:b w:val="0"/>
                <w:color w:val="33414F"/>
                <w:sz w:val="18"/>
              </w:rPr>
              <w:t xml:space="preserve">Commercials</w:t>
            </w:r>
          </w:p>
        </w:tc>
        <w:tc>
          <w:tcPr>
            <w:tcW w:w="6200" w:type="dxa"/>
            <w:tcMar>
              <w:top w:w="45" w:type="dxa"/>
              <w:left w:w="85" w:type="dxa"/>
              <w:bottom w:w="45" w:type="dxa"/>
              <w:right w:w="85" w:type="dxa"/>
            </w:tcMar>
          </w:tcPr>
          <w:p>
            <w:pPr>
              <w:spacing w:after="0" w:before="0"/>
            </w:pPr>
            <w:r>
              <w:rPr>
                <w:b w:val="0"/>
                <w:color w:val="33414F"/>
                <w:sz w:val="18"/>
              </w:rPr>
              <w:t xml:space="preserve">Issued separately (incl. DOME cost models); this IR contains none</w:t>
            </w:r>
          </w:p>
        </w:tc>
      </w:tr>
      <w:tr>
        <w:tc>
          <w:tcPr>
            <w:tcW w:w="2600" w:type="dxa"/>
            <w:tcMar>
              <w:top w:w="45" w:type="dxa"/>
              <w:left w:w="85" w:type="dxa"/>
              <w:bottom w:w="45" w:type="dxa"/>
              <w:right w:w="85" w:type="dxa"/>
            </w:tcMar>
          </w:tcPr>
          <w:p>
            <w:pPr>
              <w:spacing w:after="0" w:before="0"/>
            </w:pPr>
            <w:r>
              <w:rPr>
                <w:b w:val="0"/>
                <w:color w:val="33414F"/>
                <w:sz w:val="18"/>
              </w:rPr>
              <w:t xml:space="preserve">Rights</w:t>
            </w:r>
          </w:p>
        </w:tc>
        <w:tc>
          <w:tcPr>
            <w:tcW w:w="6200" w:type="dxa"/>
            <w:tcMar>
              <w:top w:w="45" w:type="dxa"/>
              <w:left w:w="85" w:type="dxa"/>
              <w:bottom w:w="45" w:type="dxa"/>
              <w:right w:w="85" w:type="dxa"/>
            </w:tcMar>
          </w:tcPr>
          <w:p>
            <w:pPr>
              <w:spacing w:after="0" w:before="0"/>
            </w:pPr>
            <w:r>
              <w:rPr>
                <w:b w:val="0"/>
                <w:color w:val="33414F"/>
                <w:sz w:val="18"/>
              </w:rPr>
              <w:t xml:space="preserve">© 2018–2026 Antwerp Designs | Ionity (Pty) Ltd · All rights reserved · TM²</w:t>
            </w:r>
          </w:p>
        </w:tc>
      </w:tr>
    </w:tbl>
    <w:p>
      <w:pPr>
        <w:spacing w:after="80"/>
      </w:pPr>
    </w:p>
    <w:p w:rsidR="00000000" w:rsidDel="00000000" w:rsidP="00000000" w:rsidRDefault="00000000" w:rsidRPr="00000000" w14:paraId="0000006C">
      <w:pPr>
        <w:pStyle w:val="Heading1"/>
        <w:spacing w:after="120" w:before="300" w:lineRule="auto"/>
        <w:rPr/>
      </w:pPr>
      <w:r w:rsidDel="00000000" w:rsidR="00000000" w:rsidRPr="00000000">
        <w:rPr>
          <w:rFonts w:ascii="Arial" w:cs="Arial" w:eastAsia="Arial" w:hAnsi="Arial"/>
          <w:rtl w:val="0"/>
        </w:rPr>
        <w:t xml:space="preserve">Appendix B — Meeting Record Index</w:t>
      </w:r>
    </w:p>
    <w:tbl>
      <w:tblPr>
        <w:tblW w:w="9200" w:type="dxa"/>
        <w:tblBorders>
          <w:top w:val="single" w:sz="4" w:space="0" w:color="BFCBD6"/>
          <w:left w:val="single" w:sz="4" w:space="0" w:color="BFCBD6"/>
          <w:bottom w:val="single" w:sz="4" w:space="0" w:color="BFCBD6"/>
          <w:right w:val="single" w:sz="4" w:space="0" w:color="BFCBD6"/>
          <w:insideH w:val="single" w:sz="4" w:space="0" w:color="BFCBD6"/>
          <w:insideV w:val="single" w:sz="4" w:space="0" w:color="BFCBD6"/>
        </w:tblBorders>
        <w:tblLayout w:type="fixed"/>
        <w:tblLook w:val="04A0"/>
      </w:tblPr>
      <w:tblGrid>
        <w:gridCol w:w="2200"/>
        <w:gridCol w:w="2400"/>
        <w:gridCol w:w="4600"/>
      </w:tblGrid>
      <w:tr>
        <w:tc>
          <w:tcPr>
            <w:tcW w:w="2200" w:type="dxa"/>
            <w:shd w:val="clear" w:color="auto" w:fill="0D2137"/>
            <w:tcMar>
              <w:top w:w="45" w:type="dxa"/>
              <w:left w:w="85" w:type="dxa"/>
              <w:bottom w:w="45" w:type="dxa"/>
              <w:right w:w="85" w:type="dxa"/>
            </w:tcMar>
          </w:tcPr>
          <w:p>
            <w:pPr>
              <w:spacing w:after="0" w:before="0"/>
            </w:pPr>
            <w:r>
              <w:rPr>
                <w:b/>
                <w:color w:val="FFFFFF"/>
                <w:sz w:val="18"/>
              </w:rPr>
              <w:t xml:space="preserve">Date (2026)</w:t>
            </w:r>
          </w:p>
        </w:tc>
        <w:tc>
          <w:tcPr>
            <w:tcW w:w="2400" w:type="dxa"/>
            <w:shd w:val="clear" w:color="auto" w:fill="0D2137"/>
            <w:tcMar>
              <w:top w:w="45" w:type="dxa"/>
              <w:left w:w="85" w:type="dxa"/>
              <w:bottom w:w="45" w:type="dxa"/>
              <w:right w:w="85" w:type="dxa"/>
            </w:tcMar>
          </w:tcPr>
          <w:p>
            <w:pPr>
              <w:spacing w:after="0" w:before="0"/>
            </w:pPr>
            <w:r>
              <w:rPr>
                <w:b/>
                <w:color w:val="FFFFFF"/>
                <w:sz w:val="18"/>
              </w:rPr>
              <w:t xml:space="preserve">Record</w:t>
            </w:r>
          </w:p>
        </w:tc>
        <w:tc>
          <w:tcPr>
            <w:tcW w:w="4600" w:type="dxa"/>
            <w:shd w:val="clear" w:color="auto" w:fill="0D2137"/>
            <w:tcMar>
              <w:top w:w="45" w:type="dxa"/>
              <w:left w:w="85" w:type="dxa"/>
              <w:bottom w:w="45" w:type="dxa"/>
              <w:right w:w="85" w:type="dxa"/>
            </w:tcMar>
          </w:tcPr>
          <w:p>
            <w:pPr>
              <w:spacing w:after="0" w:before="0"/>
            </w:pPr>
            <w:r>
              <w:rPr>
                <w:b/>
                <w:color w:val="FFFFFF"/>
                <w:sz w:val="18"/>
              </w:rPr>
              <w:t xml:space="preserve">Substance</w:t>
            </w:r>
          </w:p>
        </w:tc>
      </w:tr>
      <w:tr>
        <w:tc>
          <w:tcPr>
            <w:tcW w:w="2200" w:type="dxa"/>
            <w:tcMar>
              <w:top w:w="45" w:type="dxa"/>
              <w:left w:w="85" w:type="dxa"/>
              <w:bottom w:w="45" w:type="dxa"/>
              <w:right w:w="85" w:type="dxa"/>
            </w:tcMar>
          </w:tcPr>
          <w:p>
            <w:pPr>
              <w:spacing w:after="0" w:before="0"/>
            </w:pPr>
            <w:r>
              <w:rPr>
                <w:b w:val="0"/>
                <w:color w:val="33414F"/>
                <w:sz w:val="18"/>
              </w:rPr>
              <w:t xml:space="preserve">02 Jun</w:t>
            </w:r>
          </w:p>
        </w:tc>
        <w:tc>
          <w:tcPr>
            <w:tcW w:w="2400" w:type="dxa"/>
            <w:tcMar>
              <w:top w:w="45" w:type="dxa"/>
              <w:left w:w="85" w:type="dxa"/>
              <w:bottom w:w="45" w:type="dxa"/>
              <w:right w:w="85" w:type="dxa"/>
            </w:tcMar>
          </w:tcPr>
          <w:p>
            <w:pPr>
              <w:spacing w:after="0" w:before="0"/>
            </w:pPr>
            <w:r>
              <w:rPr>
                <w:b w:val="0"/>
                <w:color w:val="33414F"/>
                <w:sz w:val="18"/>
              </w:rPr>
              <w:t xml:space="preserve">Client feedback</w:t>
            </w:r>
          </w:p>
        </w:tc>
        <w:tc>
          <w:tcPr>
            <w:tcW w:w="4600" w:type="dxa"/>
            <w:tcMar>
              <w:top w:w="45" w:type="dxa"/>
              <w:left w:w="85" w:type="dxa"/>
              <w:bottom w:w="45" w:type="dxa"/>
              <w:right w:w="85" w:type="dxa"/>
            </w:tcMar>
          </w:tcPr>
          <w:p>
            <w:pPr>
              <w:spacing w:after="0" w:before="0"/>
            </w:pPr>
            <w:r>
              <w:rPr>
                <w:b w:val="0"/>
                <w:color w:val="33414F"/>
                <w:sz w:val="18"/>
              </w:rPr>
              <w:t xml:space="preserve">DOME-principle ERP demo — well received; "optimise first, DOME later" agreed</w:t>
            </w:r>
          </w:p>
        </w:tc>
      </w:tr>
      <w:tr>
        <w:tc>
          <w:tcPr>
            <w:tcW w:w="2200" w:type="dxa"/>
            <w:tcMar>
              <w:top w:w="45" w:type="dxa"/>
              <w:left w:w="85" w:type="dxa"/>
              <w:bottom w:w="45" w:type="dxa"/>
              <w:right w:w="85" w:type="dxa"/>
            </w:tcMar>
          </w:tcPr>
          <w:p>
            <w:pPr>
              <w:spacing w:after="0" w:before="0"/>
            </w:pPr>
            <w:r>
              <w:rPr>
                <w:b w:val="0"/>
                <w:color w:val="33414F"/>
                <w:sz w:val="18"/>
              </w:rPr>
              <w:t xml:space="preserve">15 Jun</w:t>
            </w:r>
          </w:p>
        </w:tc>
        <w:tc>
          <w:tcPr>
            <w:tcW w:w="2400" w:type="dxa"/>
            <w:tcMar>
              <w:top w:w="45" w:type="dxa"/>
              <w:left w:w="85" w:type="dxa"/>
              <w:bottom w:w="45" w:type="dxa"/>
              <w:right w:w="85" w:type="dxa"/>
            </w:tcMar>
          </w:tcPr>
          <w:p>
            <w:pPr>
              <w:spacing w:after="0" w:before="0"/>
            </w:pPr>
            <w:r>
              <w:rPr>
                <w:b w:val="0"/>
                <w:color w:val="33414F"/>
                <w:sz w:val="18"/>
              </w:rPr>
              <w:t xml:space="preserve">Kick-off (Phase 1)</w:t>
            </w:r>
          </w:p>
        </w:tc>
        <w:tc>
          <w:tcPr>
            <w:tcW w:w="4600" w:type="dxa"/>
            <w:tcMar>
              <w:top w:w="45" w:type="dxa"/>
              <w:left w:w="85" w:type="dxa"/>
              <w:bottom w:w="45" w:type="dxa"/>
              <w:right w:w="85" w:type="dxa"/>
            </w:tcMar>
          </w:tcPr>
          <w:p>
            <w:pPr>
              <w:spacing w:after="0" w:before="0"/>
            </w:pPr>
            <w:r>
              <w:rPr>
                <w:b w:val="0"/>
                <w:color w:val="33414F"/>
                <w:sz w:val="18"/>
              </w:rPr>
              <w:t xml:space="preserve">Engagement start; sprint plan; info-request list issued</w:t>
            </w:r>
          </w:p>
        </w:tc>
      </w:tr>
      <w:tr>
        <w:tc>
          <w:tcPr>
            <w:tcW w:w="2200" w:type="dxa"/>
            <w:tcMar>
              <w:top w:w="45" w:type="dxa"/>
              <w:left w:w="85" w:type="dxa"/>
              <w:bottom w:w="45" w:type="dxa"/>
              <w:right w:w="85" w:type="dxa"/>
            </w:tcMar>
          </w:tcPr>
          <w:p>
            <w:pPr>
              <w:spacing w:after="0" w:before="0"/>
            </w:pPr>
            <w:r>
              <w:rPr>
                <w:b w:val="0"/>
                <w:color w:val="33414F"/>
                <w:sz w:val="18"/>
              </w:rPr>
              <w:t xml:space="preserve">18 Jun</w:t>
            </w:r>
          </w:p>
        </w:tc>
        <w:tc>
          <w:tcPr>
            <w:tcW w:w="2400" w:type="dxa"/>
            <w:tcMar>
              <w:top w:w="45" w:type="dxa"/>
              <w:left w:w="85" w:type="dxa"/>
              <w:bottom w:w="45" w:type="dxa"/>
              <w:right w:w="85" w:type="dxa"/>
            </w:tcMar>
          </w:tcPr>
          <w:p>
            <w:pPr>
              <w:spacing w:after="0" w:before="0"/>
            </w:pPr>
            <w:r>
              <w:rPr>
                <w:b w:val="0"/>
                <w:color w:val="33414F"/>
                <w:sz w:val="18"/>
              </w:rPr>
              <w:t xml:space="preserve">FLOW scoping</w:t>
            </w:r>
          </w:p>
        </w:tc>
        <w:tc>
          <w:tcPr>
            <w:tcW w:w="4600" w:type="dxa"/>
            <w:tcMar>
              <w:top w:w="45" w:type="dxa"/>
              <w:left w:w="85" w:type="dxa"/>
              <w:bottom w:w="45" w:type="dxa"/>
              <w:right w:w="85" w:type="dxa"/>
            </w:tcMar>
          </w:tcPr>
          <w:p>
            <w:pPr>
              <w:spacing w:after="0" w:before="0"/>
            </w:pPr>
            <w:r>
              <w:rPr>
                <w:b w:val="0"/>
                <w:color w:val="33414F"/>
                <w:sz w:val="18"/>
              </w:rPr>
              <w:t xml:space="preserve">Women’s-health Android app; Project NR SNPR002P10626IO; decision-maker Paul</w:t>
            </w:r>
          </w:p>
        </w:tc>
      </w:tr>
      <w:tr>
        <w:tc>
          <w:tcPr>
            <w:tcW w:w="2200" w:type="dxa"/>
            <w:tcMar>
              <w:top w:w="45" w:type="dxa"/>
              <w:left w:w="85" w:type="dxa"/>
              <w:bottom w:w="45" w:type="dxa"/>
              <w:right w:w="85" w:type="dxa"/>
            </w:tcMar>
          </w:tcPr>
          <w:p>
            <w:pPr>
              <w:spacing w:after="0" w:before="0"/>
            </w:pPr>
            <w:r>
              <w:rPr>
                <w:b w:val="0"/>
                <w:color w:val="33414F"/>
                <w:sz w:val="18"/>
              </w:rPr>
              <w:t xml:space="preserve">22 Jun</w:t>
            </w:r>
          </w:p>
        </w:tc>
        <w:tc>
          <w:tcPr>
            <w:tcW w:w="2400" w:type="dxa"/>
            <w:tcMar>
              <w:top w:w="45" w:type="dxa"/>
              <w:left w:w="85" w:type="dxa"/>
              <w:bottom w:w="45" w:type="dxa"/>
              <w:right w:w="85" w:type="dxa"/>
            </w:tcMar>
          </w:tcPr>
          <w:p>
            <w:pPr>
              <w:spacing w:after="0" w:before="0"/>
            </w:pPr>
            <w:r>
              <w:rPr>
                <w:b w:val="0"/>
                <w:color w:val="33414F"/>
                <w:sz w:val="18"/>
              </w:rPr>
              <w:t xml:space="preserve">Sage 300 People demo</w:t>
            </w:r>
          </w:p>
        </w:tc>
        <w:tc>
          <w:tcPr>
            <w:tcW w:w="4600" w:type="dxa"/>
            <w:tcMar>
              <w:top w:w="45" w:type="dxa"/>
              <w:left w:w="85" w:type="dxa"/>
              <w:bottom w:w="45" w:type="dxa"/>
              <w:right w:w="85" w:type="dxa"/>
            </w:tcMar>
          </w:tcPr>
          <w:p>
            <w:pPr>
              <w:spacing w:after="0" w:before="0"/>
            </w:pPr>
            <w:r>
              <w:rPr>
                <w:b w:val="0"/>
                <w:color w:val="33414F"/>
                <w:sz w:val="18"/>
              </w:rPr>
              <w:t xml:space="preserve">ESS, payroll/HR, GL; Preferred Solutions to scope; NPO quote requested</w:t>
            </w:r>
          </w:p>
        </w:tc>
      </w:tr>
      <w:tr>
        <w:tc>
          <w:tcPr>
            <w:tcW w:w="2200" w:type="dxa"/>
            <w:tcMar>
              <w:top w:w="45" w:type="dxa"/>
              <w:left w:w="85" w:type="dxa"/>
              <w:bottom w:w="45" w:type="dxa"/>
              <w:right w:w="85" w:type="dxa"/>
            </w:tcMar>
          </w:tcPr>
          <w:p>
            <w:pPr>
              <w:spacing w:after="0" w:before="0"/>
            </w:pPr>
            <w:r>
              <w:rPr>
                <w:b w:val="0"/>
                <w:color w:val="33414F"/>
                <w:sz w:val="18"/>
              </w:rPr>
              <w:t xml:space="preserve">24 Jun</w:t>
            </w:r>
          </w:p>
        </w:tc>
        <w:tc>
          <w:tcPr>
            <w:tcW w:w="2400" w:type="dxa"/>
            <w:tcMar>
              <w:top w:w="45" w:type="dxa"/>
              <w:left w:w="85" w:type="dxa"/>
              <w:bottom w:w="45" w:type="dxa"/>
              <w:right w:w="85" w:type="dxa"/>
            </w:tcMar>
          </w:tcPr>
          <w:p>
            <w:pPr>
              <w:spacing w:after="0" w:before="0"/>
            </w:pPr>
            <w:r>
              <w:rPr>
                <w:b w:val="0"/>
                <w:color w:val="33414F"/>
                <w:sz w:val="18"/>
              </w:rPr>
              <w:t xml:space="preserve">Progress / status</w:t>
            </w:r>
          </w:p>
        </w:tc>
        <w:tc>
          <w:tcPr>
            <w:tcW w:w="4600" w:type="dxa"/>
            <w:tcMar>
              <w:top w:w="45" w:type="dxa"/>
              <w:left w:w="85" w:type="dxa"/>
              <w:bottom w:w="45" w:type="dxa"/>
              <w:right w:w="85" w:type="dxa"/>
            </w:tcMar>
          </w:tcPr>
          <w:p>
            <w:pPr>
              <w:spacing w:after="0" w:before="0"/>
            </w:pPr>
            <w:r>
              <w:rPr>
                <w:b w:val="0"/>
                <w:color w:val="33414F"/>
                <w:sz w:val="18"/>
              </w:rPr>
              <w:t xml:space="preserve">Sprint status; progress report &amp; sign-off flow</w:t>
            </w:r>
          </w:p>
        </w:tc>
      </w:tr>
      <w:tr>
        <w:tc>
          <w:tcPr>
            <w:tcW w:w="2200" w:type="dxa"/>
            <w:tcMar>
              <w:top w:w="45" w:type="dxa"/>
              <w:left w:w="85" w:type="dxa"/>
              <w:bottom w:w="45" w:type="dxa"/>
              <w:right w:w="85" w:type="dxa"/>
            </w:tcMar>
          </w:tcPr>
          <w:p>
            <w:pPr>
              <w:spacing w:after="0" w:before="0"/>
            </w:pPr>
            <w:r>
              <w:rPr>
                <w:b w:val="0"/>
                <w:color w:val="33414F"/>
                <w:sz w:val="18"/>
              </w:rPr>
              <w:t xml:space="preserve">29 Jun</w:t>
            </w:r>
          </w:p>
        </w:tc>
        <w:tc>
          <w:tcPr>
            <w:tcW w:w="2400" w:type="dxa"/>
            <w:tcMar>
              <w:top w:w="45" w:type="dxa"/>
              <w:left w:w="85" w:type="dxa"/>
              <w:bottom w:w="45" w:type="dxa"/>
              <w:right w:w="85" w:type="dxa"/>
            </w:tcMar>
          </w:tcPr>
          <w:p>
            <w:pPr>
              <w:spacing w:after="0" w:before="0"/>
            </w:pPr>
            <w:r>
              <w:rPr>
                <w:b w:val="0"/>
                <w:color w:val="33414F"/>
                <w:sz w:val="18"/>
              </w:rPr>
              <w:t xml:space="preserve">AI dashboard scoping</w:t>
            </w:r>
          </w:p>
        </w:tc>
        <w:tc>
          <w:tcPr>
            <w:tcW w:w="4600" w:type="dxa"/>
            <w:tcMar>
              <w:top w:w="45" w:type="dxa"/>
              <w:left w:w="85" w:type="dxa"/>
              <w:bottom w:w="45" w:type="dxa"/>
              <w:right w:w="85" w:type="dxa"/>
            </w:tcMar>
          </w:tcPr>
          <w:p>
            <w:pPr>
              <w:spacing w:after="0" w:before="0"/>
            </w:pPr>
            <w:r>
              <w:rPr>
                <w:b w:val="0"/>
                <w:color w:val="33414F"/>
                <w:sz w:val="18"/>
              </w:rPr>
              <w:t xml:space="preserve">NACOSA first, ahead of Enterprise and Gilead; agent "Thabo"; data-sourcing bottleneck; Vui</w:t>
            </w:r>
          </w:p>
        </w:tc>
      </w:tr>
      <w:tr>
        <w:tc>
          <w:tcPr>
            <w:tcW w:w="2200" w:type="dxa"/>
            <w:tcMar>
              <w:top w:w="45" w:type="dxa"/>
              <w:left w:w="85" w:type="dxa"/>
              <w:bottom w:w="45" w:type="dxa"/>
              <w:right w:w="85" w:type="dxa"/>
            </w:tcMar>
          </w:tcPr>
          <w:p>
            <w:pPr>
              <w:spacing w:after="0" w:before="0"/>
            </w:pPr>
            <w:r>
              <w:rPr>
                <w:b w:val="0"/>
                <w:color w:val="33414F"/>
                <w:sz w:val="18"/>
              </w:rPr>
              <w:t xml:space="preserve">30 Jun</w:t>
            </w:r>
          </w:p>
        </w:tc>
        <w:tc>
          <w:tcPr>
            <w:tcW w:w="2400" w:type="dxa"/>
            <w:tcMar>
              <w:top w:w="45" w:type="dxa"/>
              <w:left w:w="85" w:type="dxa"/>
              <w:bottom w:w="45" w:type="dxa"/>
              <w:right w:w="85" w:type="dxa"/>
            </w:tcMar>
          </w:tcPr>
          <w:p>
            <w:pPr>
              <w:spacing w:after="0" w:before="0"/>
            </w:pPr>
            <w:r>
              <w:rPr>
                <w:b w:val="0"/>
                <w:color w:val="33414F"/>
                <w:sz w:val="18"/>
              </w:rPr>
              <w:t xml:space="preserve">8-point synthesis</w:t>
            </w:r>
          </w:p>
        </w:tc>
        <w:tc>
          <w:tcPr>
            <w:tcW w:w="4600" w:type="dxa"/>
            <w:tcMar>
              <w:top w:w="45" w:type="dxa"/>
              <w:left w:w="85" w:type="dxa"/>
              <w:bottom w:w="45" w:type="dxa"/>
              <w:right w:w="85" w:type="dxa"/>
            </w:tcMar>
          </w:tcPr>
          <w:p>
            <w:pPr>
              <w:spacing w:after="0" w:before="0"/>
            </w:pPr>
            <w:r>
              <w:rPr>
                <w:b w:val="0"/>
                <w:color w:val="33414F"/>
                <w:sz w:val="18"/>
              </w:rPr>
              <w:t xml:space="preserve">RDS cliff; Mimecast 40/~200; ~250 M365 users; Chomi Option C (~3 333 participants)</w:t>
            </w:r>
          </w:p>
        </w:tc>
      </w:tr>
      <w:tr>
        <w:tc>
          <w:tcPr>
            <w:tcW w:w="2200" w:type="dxa"/>
            <w:tcMar>
              <w:top w:w="45" w:type="dxa"/>
              <w:left w:w="85" w:type="dxa"/>
              <w:bottom w:w="45" w:type="dxa"/>
              <w:right w:w="85" w:type="dxa"/>
            </w:tcMar>
          </w:tcPr>
          <w:p>
            <w:pPr>
              <w:spacing w:after="0" w:before="0"/>
            </w:pPr>
            <w:r>
              <w:rPr>
                <w:b w:val="0"/>
                <w:color w:val="33414F"/>
                <w:sz w:val="18"/>
              </w:rPr>
              <w:t xml:space="preserve">01 Jul</w:t>
            </w:r>
          </w:p>
        </w:tc>
        <w:tc>
          <w:tcPr>
            <w:tcW w:w="2400" w:type="dxa"/>
            <w:tcMar>
              <w:top w:w="45" w:type="dxa"/>
              <w:left w:w="85" w:type="dxa"/>
              <w:bottom w:w="45" w:type="dxa"/>
              <w:right w:w="85" w:type="dxa"/>
            </w:tcMar>
          </w:tcPr>
          <w:p>
            <w:pPr>
              <w:spacing w:after="0" w:before="0"/>
            </w:pPr>
            <w:r>
              <w:rPr>
                <w:b w:val="0"/>
                <w:color w:val="33414F"/>
                <w:sz w:val="18"/>
              </w:rPr>
              <w:t xml:space="preserve">Consolidated report</w:t>
            </w:r>
          </w:p>
        </w:tc>
        <w:tc>
          <w:tcPr>
            <w:tcW w:w="4600" w:type="dxa"/>
            <w:tcMar>
              <w:top w:w="45" w:type="dxa"/>
              <w:left w:w="85" w:type="dxa"/>
              <w:bottom w:w="45" w:type="dxa"/>
              <w:right w:w="85" w:type="dxa"/>
            </w:tcMar>
          </w:tcPr>
          <w:p>
            <w:pPr>
              <w:spacing w:after="0" w:before="0"/>
            </w:pPr>
            <w:r>
              <w:rPr>
                <w:b w:val="0"/>
                <w:color w:val="33414F"/>
                <w:sz w:val="18"/>
              </w:rPr>
              <w:t xml:space="preserve">Full record to date (ION-MMR series)</w:t>
            </w:r>
          </w:p>
        </w:tc>
      </w:tr>
      <w:tr>
        <w:tc>
          <w:tcPr>
            <w:tcW w:w="2200" w:type="dxa"/>
            <w:tcMar>
              <w:top w:w="45" w:type="dxa"/>
              <w:left w:w="85" w:type="dxa"/>
              <w:bottom w:w="45" w:type="dxa"/>
              <w:right w:w="85" w:type="dxa"/>
            </w:tcMar>
          </w:tcPr>
          <w:p>
            <w:pPr>
              <w:spacing w:after="0" w:before="0"/>
            </w:pPr>
            <w:r>
              <w:rPr>
                <w:b w:val="0"/>
                <w:color w:val="33414F"/>
                <w:sz w:val="18"/>
              </w:rPr>
              <w:t xml:space="preserve">20 Jul</w:t>
            </w:r>
          </w:p>
        </w:tc>
        <w:tc>
          <w:tcPr>
            <w:tcW w:w="2400" w:type="dxa"/>
            <w:tcMar>
              <w:top w:w="45" w:type="dxa"/>
              <w:left w:w="85" w:type="dxa"/>
              <w:bottom w:w="45" w:type="dxa"/>
              <w:right w:w="85" w:type="dxa"/>
            </w:tcMar>
          </w:tcPr>
          <w:p>
            <w:pPr>
              <w:spacing w:after="0" w:before="0"/>
            </w:pPr>
            <w:r>
              <w:rPr>
                <w:b w:val="0"/>
                <w:color w:val="33414F"/>
                <w:sz w:val="18"/>
              </w:rPr>
              <w:t xml:space="preserve">A1C Finance &amp; HR hand-in + TOPEND final</w:t>
            </w:r>
          </w:p>
        </w:tc>
        <w:tc>
          <w:tcPr>
            <w:tcW w:w="4600" w:type="dxa"/>
            <w:tcMar>
              <w:top w:w="45" w:type="dxa"/>
              <w:left w:w="85" w:type="dxa"/>
              <w:bottom w:w="45" w:type="dxa"/>
              <w:right w:w="85" w:type="dxa"/>
            </w:tcMar>
          </w:tcPr>
          <w:p>
            <w:pPr>
              <w:spacing w:after="0" w:before="0"/>
            </w:pPr>
            <w:r>
              <w:rPr>
                <w:b w:val="0"/>
                <w:color w:val="33414F"/>
                <w:sz w:val="18"/>
              </w:rPr>
              <w:t xml:space="preserve">50-page final presentation; five pathways tabled; IA·MCP baseline scores</w:t>
            </w:r>
          </w:p>
        </w:tc>
      </w:tr>
      <w:tr>
        <w:tc>
          <w:tcPr>
            <w:tcW w:w="2200" w:type="dxa"/>
            <w:tcMar>
              <w:top w:w="45" w:type="dxa"/>
              <w:left w:w="85" w:type="dxa"/>
              <w:bottom w:w="45" w:type="dxa"/>
              <w:right w:w="85" w:type="dxa"/>
            </w:tcMar>
          </w:tcPr>
          <w:p>
            <w:pPr>
              <w:spacing w:after="0" w:before="0"/>
            </w:pPr>
            <w:r>
              <w:rPr>
                <w:b w:val="0"/>
                <w:color w:val="33414F"/>
                <w:sz w:val="18"/>
              </w:rPr>
              <w:t xml:space="preserve">22 Jul</w:t>
            </w:r>
          </w:p>
        </w:tc>
        <w:tc>
          <w:tcPr>
            <w:tcW w:w="2400" w:type="dxa"/>
            <w:tcMar>
              <w:top w:w="45" w:type="dxa"/>
              <w:left w:w="85" w:type="dxa"/>
              <w:bottom w:w="45" w:type="dxa"/>
              <w:right w:w="85" w:type="dxa"/>
            </w:tcMar>
          </w:tcPr>
          <w:p>
            <w:pPr>
              <w:spacing w:after="0" w:before="0"/>
            </w:pPr>
            <w:r>
              <w:rPr>
                <w:b w:val="0"/>
                <w:color w:val="33414F"/>
                <w:sz w:val="18"/>
              </w:rPr>
              <w:t xml:space="preserve">IT Audit Review (Act 1)</w:t>
            </w:r>
          </w:p>
        </w:tc>
        <w:tc>
          <w:tcPr>
            <w:tcW w:w="4600" w:type="dxa"/>
            <w:tcMar>
              <w:top w:w="45" w:type="dxa"/>
              <w:left w:w="85" w:type="dxa"/>
              <w:bottom w:w="45" w:type="dxa"/>
              <w:right w:w="85" w:type="dxa"/>
            </w:tcMar>
          </w:tcPr>
          <w:p>
            <w:pPr>
              <w:spacing w:after="0" w:before="0"/>
            </w:pPr>
            <w:r>
              <w:rPr>
                <w:b w:val="0"/>
                <w:color w:val="33414F"/>
                <w:sz w:val="18"/>
              </w:rPr>
              <w:t xml:space="preserve">ION-MR-2026-004 — findings presented; this IR commissioned</w:t>
            </w:r>
          </w:p>
        </w:tc>
      </w:tr>
      <w:tr>
        <w:tc>
          <w:tcPr>
            <w:tcW w:w="2200" w:type="dxa"/>
            <w:tcMar>
              <w:top w:w="45" w:type="dxa"/>
              <w:left w:w="85" w:type="dxa"/>
              <w:bottom w:w="45" w:type="dxa"/>
              <w:right w:w="85" w:type="dxa"/>
            </w:tcMar>
          </w:tcPr>
          <w:p>
            <w:pPr>
              <w:spacing w:after="0" w:before="0"/>
            </w:pPr>
            <w:r>
              <w:rPr>
                <w:b w:val="0"/>
                <w:color w:val="33414F"/>
                <w:sz w:val="18"/>
              </w:rPr>
              <w:t xml:space="preserve">23 Jul</w:t>
            </w:r>
          </w:p>
        </w:tc>
        <w:tc>
          <w:tcPr>
            <w:tcW w:w="2400" w:type="dxa"/>
            <w:tcMar>
              <w:top w:w="45" w:type="dxa"/>
              <w:left w:w="85" w:type="dxa"/>
              <w:bottom w:w="45" w:type="dxa"/>
              <w:right w:w="85" w:type="dxa"/>
            </w:tcMar>
          </w:tcPr>
          <w:p>
            <w:pPr>
              <w:spacing w:after="0" w:before="0"/>
            </w:pPr>
            <w:r>
              <w:rPr>
                <w:b w:val="0"/>
                <w:color w:val="33414F"/>
                <w:sz w:val="18"/>
              </w:rPr>
              <w:t xml:space="preserve">Parktown handover</w:t>
            </w:r>
          </w:p>
        </w:tc>
        <w:tc>
          <w:tcPr>
            <w:tcW w:w="4600" w:type="dxa"/>
            <w:tcMar>
              <w:top w:w="45" w:type="dxa"/>
              <w:left w:w="85" w:type="dxa"/>
              <w:bottom w:w="45" w:type="dxa"/>
              <w:right w:w="85" w:type="dxa"/>
            </w:tcMar>
          </w:tcPr>
          <w:p>
            <w:pPr>
              <w:spacing w:after="0" w:before="0"/>
            </w:pPr>
            <w:r>
              <w:rPr>
                <w:b w:val="0"/>
                <w:color w:val="33414F"/>
                <w:sz w:val="18"/>
              </w:rPr>
              <w:t xml:space="preserve">Acts 2–4 + Act 1 recap; this document is the hand-over pack</w:t>
            </w:r>
          </w:p>
        </w:tc>
      </w:tr>
    </w:tbl>
    <w:sectPr>
      <w:headerReference r:id="rId7" w:type="default"/>
      <w:foot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pBdr>
        <w:top w:color="00b4d8" w:space="4" w:sz="4" w:val="single"/>
      </w:pBdr>
      <w:tabs>
        <w:tab w:val="center" w:leader="none" w:pos="4680"/>
        <w:tab w:val="right" w:leader="none" w:pos="9026"/>
      </w:tabs>
      <w:rPr/>
    </w:pPr>
    <w:r w:rsidDel="00000000" w:rsidR="00000000" w:rsidRPr="00000000">
      <w:rPr>
        <w:rFonts w:ascii="Arial" w:cs="Arial" w:eastAsia="Arial" w:hAnsi="Arial"/>
        <w:color w:val="00b4d8"/>
        <w:sz w:val="14"/>
        <w:szCs w:val="14"/>
        <w:rtl w:val="0"/>
      </w:rPr>
      <w:t xml:space="preserve">www.ionity.today | </w:t>
    </w:r>
    <w:hyperlink r:id="rId1">
      <w:r w:rsidDel="00000000" w:rsidR="00000000" w:rsidRPr="00000000">
        <w:rPr>
          <w:rFonts w:ascii="Arial" w:cs="Arial" w:eastAsia="Arial" w:hAnsi="Arial"/>
          <w:color w:val="1155cc"/>
          <w:sz w:val="14"/>
          <w:szCs w:val="14"/>
          <w:u w:val="single"/>
          <w:rtl w:val="0"/>
        </w:rPr>
        <w:t xml:space="preserve">ai@ionity.today</w:t>
      </w:r>
    </w:hyperlink>
    <w:r w:rsidDel="00000000" w:rsidR="00000000" w:rsidRPr="00000000">
      <w:rPr>
        <w:rFonts w:ascii="Arial" w:cs="Arial" w:eastAsia="Arial" w:hAnsi="Arial"/>
        <w:color w:val="00b4d8"/>
        <w:sz w:val="14"/>
        <w:szCs w:val="14"/>
        <w:rtl w:val="0"/>
      </w:rPr>
      <w:tab/>
    </w:r>
    <w:r w:rsidDel="00000000" w:rsidR="00000000" w:rsidRPr="00000000">
      <w:rPr>
        <w:color w:val="666666"/>
        <w:sz w:val="14"/>
        <w:szCs w:val="14"/>
        <w:rtl w:val="0"/>
      </w:rPr>
      <w:t xml:space="preserve">RULES 991</w:t>
    </w:r>
    <w:r w:rsidDel="00000000" w:rsidR="00000000" w:rsidRPr="00000000">
      <w:rPr>
        <w:rFonts w:ascii="Arial" w:cs="Arial" w:eastAsia="Arial" w:hAnsi="Arial"/>
        <w:color w:val="666666"/>
        <w:sz w:val="14"/>
        <w:szCs w:val="14"/>
        <w:rtl w:val="0"/>
      </w:rPr>
      <w:tab/>
      <w:t xml:space="preserve">Page </w:t>
    </w:r>
    <w:r w:rsidDel="00000000" w:rsidR="00000000" w:rsidRPr="00000000">
      <w:rPr>
        <w:rFonts w:ascii="Arial" w:cs="Arial" w:eastAsia="Arial" w:hAnsi="Arial"/>
        <w:color w:val="666666"/>
        <w:sz w:val="14"/>
        <w:szCs w:val="14"/>
      </w:rPr>
      <w:fldChar w:fldCharType="begin"/>
      <w:instrText xml:space="preserve">PAGE</w:instrText>
      <w:fldChar w:fldCharType="separate"/>
      <w:fldChar w:fldCharType="end"/>
    </w:r>
    <w:r w:rsidDel="00000000" w:rsidR="00000000" w:rsidRPr="00000000">
      <w:rPr>
        <w:rFonts w:ascii="Arial" w:cs="Arial" w:eastAsia="Arial" w:hAnsi="Arial"/>
        <w:color w:val="666666"/>
        <w:sz w:val="14"/>
        <w:szCs w:val="14"/>
        <w:rtl w:val="0"/>
      </w:rPr>
      <w:t xml:space="preserve"> of </w:t>
    </w:r>
    <w:r w:rsidDel="00000000" w:rsidR="00000000" w:rsidRPr="00000000">
      <w:rPr>
        <w:rFonts w:ascii="Arial" w:cs="Arial" w:eastAsia="Arial" w:hAnsi="Arial"/>
        <w:color w:val="666666"/>
        <w:sz w:val="14"/>
        <w:szCs w:val="1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E">
    <w:pPr>
      <w:spacing w:after="0" w:before="20" w:lineRule="auto"/>
      <w:jc w:val="center"/>
      <w:rPr/>
    </w:pPr>
    <w:r w:rsidDel="00000000" w:rsidR="00000000" w:rsidRPr="00000000">
      <w:rPr/>
      <w:drawing>
        <wp:inline distB="0" distT="0" distL="0" distR="0">
          <wp:extent cx="571500" cy="381000"/>
          <wp:effectExtent b="0" l="0" r="0" t="0"/>
          <wp:docPr descr="Ionity logo" id="1" name="image1.png"/>
          <a:graphic>
            <a:graphicData uri="http://schemas.openxmlformats.org/drawingml/2006/picture">
              <pic:pic>
                <pic:nvPicPr>
                  <pic:cNvPr descr="Ionity logo" id="0" name="image1.png"/>
                  <pic:cNvPicPr preferRelativeResize="0"/>
                </pic:nvPicPr>
                <pic:blipFill>
                  <a:blip r:embed="rId2"/>
                  <a:srcRect b="0" l="0" r="0" t="0"/>
                  <a:stretch>
                    <a:fillRect/>
                  </a:stretch>
                </pic:blipFill>
                <pic:spPr>
                  <a:xfrm>
                    <a:off x="0" y="0"/>
                    <a:ext cx="571500" cy="3810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rPr/>
    </w:pPr>
    <w:r w:rsidDel="00000000" w:rsidR="00000000" w:rsidRPr="00000000">
      <w:rPr/>
      <w:pict>
        <v:shape id="WordPictureWatermark1" style="position:absolute;width:468.0pt;height:312.0pt;rotation:0;z-index:-503316481;mso-position-horizontal-relative:margin;mso-position-horizontal:center;mso-position-vertical-relative:margin;mso-position-vertical:absolute;margin-top:180.0pt;" alt="" type="#_x0000_t75">
          <v:imagedata cropbottom="0f" cropleft="0f" cropright="0f" croptop="0f" r:id="rId1" o:title="image2.png"/>
        </v:shape>
      </w:pict>
    </w:r>
    <w:r w:rsidDel="00000000" w:rsidR="00000000" w:rsidRPr="00000000">
      <w:rPr>
        <w:rtl w:val="0"/>
      </w:rPr>
    </w:r>
  </w:p>
  <w:p w:rsidR="00000000" w:rsidDel="00000000" w:rsidP="00000000" w:rsidRDefault="00000000" w:rsidRPr="00000000" w14:paraId="0000007C">
    <w:pPr>
      <w:pBdr>
        <w:bottom w:color="00b4d8" w:space="4" w:sz="6" w:val="single"/>
      </w:pBdr>
      <w:tabs>
        <w:tab w:val="center" w:leader="none" w:pos="4680"/>
        <w:tab w:val="right" w:leader="none" w:pos="9026"/>
      </w:tabs>
      <w:jc w:val="left"/>
      <w:rPr/>
    </w:pPr>
    <w:r w:rsidDel="00000000" w:rsidR="00000000" w:rsidRPr="00000000">
      <w:rPr>
        <w:rFonts w:ascii="Arial" w:cs="Arial" w:eastAsia="Arial" w:hAnsi="Arial"/>
        <w:b w:val="1"/>
        <w:bCs w:val="1"/>
        <w:color w:val="0d2137"/>
        <w:sz w:val="16"/>
        <w:szCs w:val="16"/>
        <w:rtl w:val="0"/>
      </w:rPr>
      <w:t xml:space="preserve">IONITY GLOBAL (Pty) Ltd</w:t>
      <w:tab/>
      <w:t xml:space="preserve">POL 986 AED</w:t>
      <w:tab/>
    </w:r>
    <w:r w:rsidDel="00000000" w:rsidR="00000000" w:rsidRPr="00000000">
      <w:rPr>
        <w:rFonts w:ascii="Arial" w:cs="Arial" w:eastAsia="Arial" w:hAnsi="Arial"/>
        <w:b w:val="1"/>
        <w:bCs w:val="1"/>
        <w:color w:val="ff6b35"/>
        <w:sz w:val="14"/>
        <w:szCs w:val="14"/>
        <w:rtl w:val="0"/>
      </w:rPr>
      <w:t xml:space="preserve">CONFIDENTIAL</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1"/>
      <w:bCs w:val="1"/>
      <w:i w:val="0"/>
      <w:iCs w:val="0"/>
      <w:smallCaps w:val="0"/>
      <w:strike w:val="0"/>
      <w:color w:val="0d2137"/>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40" w:lineRule="auto"/>
      <w:ind w:left="0" w:right="0" w:firstLine="0"/>
      <w:jc w:val="left"/>
    </w:pPr>
    <w:rPr>
      <w:rFonts w:ascii="Arial" w:cs="Arial" w:eastAsia="Arial" w:hAnsi="Arial"/>
      <w:b w:val="1"/>
      <w:bCs w:val="1"/>
      <w:i w:val="0"/>
      <w:iCs w:val="0"/>
      <w:smallCaps w:val="0"/>
      <w:strike w:val="0"/>
      <w:color w:val="00b4d8"/>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left"/>
    </w:pPr>
    <w:rPr>
      <w:rFonts w:ascii="Arial" w:cs="Arial" w:eastAsia="Arial" w:hAnsi="Arial"/>
      <w:b w:val="1"/>
      <w:bCs w:val="1"/>
      <w:i w:val="0"/>
      <w:iCs w:val="0"/>
      <w:smallCaps w:val="0"/>
      <w:strike w:val="0"/>
      <w:color w:val="0d2137"/>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 Id="rIdD1" Type="http://schemas.openxmlformats.org/officeDocument/2006/relationships/image" Target="media/image3.png"/><Relationship Id="rIdD2" Type="http://schemas.openxmlformats.org/officeDocument/2006/relationships/image" Target="media/image4.png"/><Relationship Id="rIdD3" Type="http://schemas.openxmlformats.org/officeDocument/2006/relationships/image" Target="media/image5.png"/><Relationship Id="rIdD4" Type="http://schemas.openxmlformats.org/officeDocument/2006/relationships/image" Target="media/image6.png"/><Relationship Id="rIdD5" Type="http://schemas.openxmlformats.org/officeDocument/2006/relationships/image" Target="media/image7.png"/><Relationship Id="rIdD6" Type="http://schemas.openxmlformats.org/officeDocument/2006/relationships/image" Target="media/image8.png"/><Relationship Id="rIdD7" Type="http://schemas.openxmlformats.org/officeDocument/2006/relationships/image" Target="media/image9.png"/><Relationship Id="rIdD8" Type="http://schemas.openxmlformats.org/officeDocument/2006/relationships/image" Target="media/image10.png"/><Relationship Id="rIdD9" Type="http://schemas.openxmlformats.org/officeDocument/2006/relationships/image" Target="media/image11.png"/><Relationship Id="rIdD10" Type="http://schemas.openxmlformats.org/officeDocument/2006/relationships/image" Target="media/image12.jpg"/><Relationship Id="rIdH1" Type="http://schemas.openxmlformats.org/officeDocument/2006/relationships/hyperlink" Target="https://miro.com/app/board/uXjVH5dVYSQ=/" TargetMode="External"/><Relationship Id="rIdH2" Type="http://schemas.openxmlformats.org/officeDocument/2006/relationships/hyperlink" Target="https://www.canva.com/d/zTMYHsriW7i7bhX" TargetMode="External"/><Relationship Id="rIdH3" Type="http://schemas.openxmlformats.org/officeDocument/2006/relationships/hyperlink" Target="https://app.notion.com/p/3a568510583c81edaa8bd23c6a3b7b46" TargetMode="External"/><Relationship Id="rIdH4" Type="http://schemas.openxmlformats.org/officeDocument/2006/relationships/hyperlink" Target="https://drive.google.com/file/d/17pbDwiyhHoimBvFdXheW3zCLtgANOl7c/view" TargetMode="External"/><Relationship Id="rIdH5" Type="http://schemas.openxmlformats.org/officeDocument/2006/relationships/hyperlink" Target="https://www.ionity.toda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i@ionity.today" TargetMode="External"/><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